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05430F3">
      <w:pPr>
        <w:keepNext w:val="0"/>
        <w:keepLines w:val="0"/>
        <w:pageBreakBefore w:val="0"/>
        <w:kinsoku/>
        <w:wordWrap/>
        <w:overflowPunct/>
        <w:topLinePunct w:val="0"/>
        <w:autoSpaceDE/>
        <w:autoSpaceDN/>
        <w:bidi w:val="0"/>
        <w:adjustRightInd/>
        <w:snapToGrid/>
        <w:spacing w:beforeAutospacing="0" w:afterAutospacing="0" w:line="360" w:lineRule="auto"/>
        <w:ind w:firstLine="420" w:firstLineChars="200"/>
        <w:jc w:val="left"/>
        <w:textAlignment w:val="auto"/>
      </w:pPr>
      <w:r>
        <w:drawing>
          <wp:inline distT="0" distB="0" distL="114300" distR="114300">
            <wp:extent cx="690880" cy="658495"/>
            <wp:effectExtent l="0" t="0" r="13970" b="825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690880" cy="658495"/>
                    </a:xfrm>
                    <a:prstGeom prst="rect">
                      <a:avLst/>
                    </a:prstGeom>
                    <a:noFill/>
                    <a:ln>
                      <a:noFill/>
                    </a:ln>
                  </pic:spPr>
                </pic:pic>
              </a:graphicData>
            </a:graphic>
          </wp:inline>
        </w:drawing>
      </w:r>
    </w:p>
    <w:p w14:paraId="2C71805A">
      <w:pPr>
        <w:keepNext w:val="0"/>
        <w:keepLines w:val="0"/>
        <w:pageBreakBefore w:val="0"/>
        <w:kinsoku/>
        <w:wordWrap/>
        <w:overflowPunct/>
        <w:topLinePunct w:val="0"/>
        <w:autoSpaceDE/>
        <w:autoSpaceDN/>
        <w:bidi w:val="0"/>
        <w:adjustRightInd/>
        <w:snapToGrid/>
        <w:spacing w:beforeAutospacing="0" w:afterAutospacing="0" w:line="360" w:lineRule="auto"/>
        <w:ind w:firstLine="420" w:firstLineChars="200"/>
        <w:jc w:val="left"/>
        <w:textAlignment w:val="auto"/>
      </w:pPr>
    </w:p>
    <w:p w14:paraId="352753FD">
      <w:pPr>
        <w:keepNext w:val="0"/>
        <w:keepLines w:val="0"/>
        <w:pageBreakBefore w:val="0"/>
        <w:kinsoku/>
        <w:wordWrap/>
        <w:overflowPunct/>
        <w:topLinePunct w:val="0"/>
        <w:autoSpaceDE/>
        <w:autoSpaceDN/>
        <w:bidi w:val="0"/>
        <w:adjustRightInd/>
        <w:snapToGrid/>
        <w:spacing w:beforeAutospacing="0" w:afterAutospacing="0" w:line="360" w:lineRule="auto"/>
        <w:ind w:firstLine="723" w:firstLineChars="200"/>
        <w:jc w:val="left"/>
        <w:textAlignment w:val="auto"/>
        <w:rPr>
          <w:rFonts w:hint="default"/>
          <w:b/>
          <w:bCs/>
          <w:sz w:val="36"/>
          <w:szCs w:val="36"/>
          <w:lang w:val="en-US" w:eastAsia="zh-CN"/>
        </w:rPr>
      </w:pPr>
      <w:r>
        <w:rPr>
          <w:rFonts w:hint="eastAsia"/>
          <w:b/>
          <w:bCs/>
          <w:i/>
          <w:iCs/>
          <w:sz w:val="36"/>
          <w:szCs w:val="36"/>
          <w:lang w:val="en-US" w:eastAsia="zh-CN"/>
        </w:rPr>
        <w:t xml:space="preserve">          eVTOL-SCSR-H2-神谕</w:t>
      </w:r>
    </w:p>
    <w:p w14:paraId="0B417AAD">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0695569B">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none"/>
          <w:lang w:val="en-US" w:eastAsia="zh-CN"/>
        </w:rPr>
      </w:pPr>
      <w:r>
        <w:rPr>
          <w:rFonts w:hint="eastAsia"/>
          <w:b/>
          <w:bCs/>
          <w:sz w:val="30"/>
          <w:szCs w:val="30"/>
          <w:highlight w:val="none"/>
          <w:lang w:val="en-US" w:eastAsia="zh-CN"/>
        </w:rPr>
        <w:t>项目代号：</w:t>
      </w:r>
      <w:r>
        <w:rPr>
          <w:rFonts w:hint="eastAsia"/>
          <w:b w:val="0"/>
          <w:bCs w:val="0"/>
          <w:sz w:val="30"/>
          <w:szCs w:val="30"/>
          <w:highlight w:val="none"/>
          <w:lang w:val="en-US" w:eastAsia="zh-CN"/>
        </w:rPr>
        <w:t>SCSR-H2-神谕  氢电动力垂直起降飞行器</w:t>
      </w:r>
    </w:p>
    <w:p w14:paraId="2072CC44">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6E41FE13">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0F081E12">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628694A7">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r>
        <w:rPr>
          <w:rFonts w:hint="eastAsia"/>
          <w:b/>
          <w:bCs/>
          <w:sz w:val="30"/>
          <w:szCs w:val="30"/>
          <w:highlight w:val="lightGray"/>
          <w:lang w:val="en-US" w:eastAsia="zh-CN"/>
        </w:rPr>
        <w:drawing>
          <wp:inline distT="0" distB="0" distL="114300" distR="114300">
            <wp:extent cx="5069205" cy="2633345"/>
            <wp:effectExtent l="0" t="0" r="17145" b="14605"/>
            <wp:docPr id="7" name="图片 7" descr="SCSR-H2-神谕-白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SR-H2-神谕-白前"/>
                    <pic:cNvPicPr>
                      <a:picLocks noChangeAspect="1"/>
                    </pic:cNvPicPr>
                  </pic:nvPicPr>
                  <pic:blipFill>
                    <a:blip r:embed="rId5"/>
                    <a:stretch>
                      <a:fillRect/>
                    </a:stretch>
                  </pic:blipFill>
                  <pic:spPr>
                    <a:xfrm>
                      <a:off x="0" y="0"/>
                      <a:ext cx="5069205" cy="2633345"/>
                    </a:xfrm>
                    <a:prstGeom prst="rect">
                      <a:avLst/>
                    </a:prstGeom>
                  </pic:spPr>
                </pic:pic>
              </a:graphicData>
            </a:graphic>
          </wp:inline>
        </w:drawing>
      </w:r>
    </w:p>
    <w:p w14:paraId="02680090">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1755D074">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37984AD9">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4EFA8D10">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jc w:val="center"/>
        <w:textAlignment w:val="auto"/>
        <w:rPr>
          <w:rFonts w:hint="eastAsia"/>
          <w:b/>
          <w:bCs/>
          <w:sz w:val="30"/>
          <w:szCs w:val="30"/>
          <w:highlight w:val="lightGray"/>
          <w:lang w:val="en-US" w:eastAsia="zh-CN"/>
        </w:rPr>
      </w:pPr>
      <w:r>
        <w:rPr>
          <w:rFonts w:hint="eastAsia"/>
          <w:b/>
          <w:bCs/>
          <w:sz w:val="30"/>
          <w:szCs w:val="30"/>
          <w:highlight w:val="lightGray"/>
          <w:lang w:val="en-US" w:eastAsia="zh-CN"/>
        </w:rPr>
        <w:t>北京云智星河航天科技有限公司</w:t>
      </w:r>
    </w:p>
    <w:p w14:paraId="12E1B938">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450013BB">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676ABDB8">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eastAsia"/>
          <w:b/>
          <w:bCs/>
          <w:sz w:val="30"/>
          <w:szCs w:val="30"/>
          <w:highlight w:val="lightGray"/>
          <w:lang w:val="en-US" w:eastAsia="zh-CN"/>
        </w:rPr>
      </w:pPr>
    </w:p>
    <w:p w14:paraId="28872473">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964" w:firstLineChars="300"/>
        <w:textAlignment w:val="auto"/>
        <w:rPr>
          <w:sz w:val="32"/>
          <w:szCs w:val="32"/>
        </w:rPr>
      </w:pPr>
      <w:r>
        <w:rPr>
          <w:sz w:val="32"/>
          <w:szCs w:val="32"/>
        </w:rPr>
        <w:t>SCSR-H2-神谕：城市空中交通氢能源解决方案</w:t>
      </w:r>
    </w:p>
    <w:p w14:paraId="37C7671F"/>
    <w:p w14:paraId="59BC6CF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经过为期两</w:t>
      </w:r>
      <w:r>
        <w:rPr>
          <w:rFonts w:hint="eastAsia" w:ascii="宋体" w:hAnsi="宋体" w:eastAsia="宋体" w:cs="宋体"/>
          <w:kern w:val="0"/>
          <w:sz w:val="24"/>
          <w:szCs w:val="24"/>
          <w:lang w:val="en-US" w:eastAsia="zh-CN" w:bidi="ar"/>
        </w:rPr>
        <w:t>个月</w:t>
      </w:r>
      <w:r>
        <w:rPr>
          <w:rFonts w:ascii="宋体" w:hAnsi="宋体" w:eastAsia="宋体" w:cs="宋体"/>
          <w:kern w:val="0"/>
          <w:sz w:val="24"/>
          <w:szCs w:val="24"/>
          <w:lang w:val="en-US" w:eastAsia="zh-CN" w:bidi="ar"/>
        </w:rPr>
        <w:t>的深入规划、精准计算以及精细建模，我们非常荣幸地向各位投资者介绍一款极具创新性和前瞻性的产品—SCSR-H2-神谕，这是我们专为电动垂直起降飞行器（eVTOL）/ 城市空中交通（UAM）领域精心打造的氢</w:t>
      </w:r>
      <w:r>
        <w:rPr>
          <w:rFonts w:hint="eastAsia" w:ascii="宋体" w:hAnsi="宋体" w:eastAsia="宋体" w:cs="宋体"/>
          <w:kern w:val="0"/>
          <w:sz w:val="24"/>
          <w:szCs w:val="24"/>
          <w:lang w:val="en-US" w:eastAsia="zh-CN" w:bidi="ar"/>
        </w:rPr>
        <w:t>电混合动力</w:t>
      </w:r>
      <w:r>
        <w:rPr>
          <w:rFonts w:ascii="宋体" w:hAnsi="宋体" w:eastAsia="宋体" w:cs="宋体"/>
          <w:kern w:val="0"/>
          <w:sz w:val="24"/>
          <w:szCs w:val="24"/>
          <w:lang w:val="en-US" w:eastAsia="zh-CN" w:bidi="ar"/>
        </w:rPr>
        <w:t>能源解决方案。</w:t>
      </w:r>
    </w:p>
    <w:p w14:paraId="1B6A54B9">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3" w:firstLineChars="200"/>
        <w:textAlignment w:val="auto"/>
      </w:pPr>
      <w:r>
        <w:t>一、氢能源优势及市场潜力分析</w:t>
      </w:r>
    </w:p>
    <w:p w14:paraId="1833692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在当今航空领域，电池技术虽然持续发展，但面临着诸多瓶颈。以锂离子电池为例，过去 10 年，其能量密度仅仅从大约 100 - 150Wh/kg 提升至 200 - 300Wh/kg，增长幅度仅为两倍 。并且，当前城市空中交通解决方案中广泛采用的垂直起降方式，能耗巨大。相关测试数据表明，一次典型的垂直起降过程所消耗的能量，是水平巡航相同距离能耗的 3 - 5 倍。这导致电池的充放电循环次数大幅减少，使用寿命显著降低，平均寿命从正常使用场景下的约 1000 - 1500 次充放电循环，在频繁垂直起降的工况下，锐减至 300 - 500 次。</w:t>
      </w:r>
    </w:p>
    <w:p w14:paraId="0EF15A84">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与之相比，氢能源尽管目前存在一些挑战，如全球范围内氢气产量仅占能源消耗总量的不到 3%，制取成本相较于传统化石能源高出 2 - 3 倍，加氢站等基础设施建设数量稀少，全球加氢站数量不足 1000 座，仅为加油站数量的千分之一，但氢能源的优势同样不可忽视。氢能源的能量密度高达 120 - 140MJ/kg，约为锂离子电池的 100 倍 ，这意味着在相同重量下，氢能源能够为飞行器提供更持久的动力。同时，加氢时间极短，一辆普通氢能源汽车的加氢时间通常在 3 - 5 分钟，对于飞行器而言，这一优势同样明显，能够大幅提高运营效率。此外，氢气罐和燃料电池的更换相对简便，以一辆中型氢能源商用车为例，更换氢气罐仅需 15 - 20 分钟，而更换同等电量的电动汽车电池，不仅操作复杂，时间成本也高达数小时。从市场潜力来看，根据知名市场研究机构的数据预测，未来 10 年，全球城市空中交通市场规模将以每年 25% - 30% 的速度增长，预计在 2035 年达到 500 - 800 亿美元。因此，我们坚信氢燃料电池飞行器将在未来城市空中交通市场占据主导地位。</w:t>
      </w:r>
    </w:p>
    <w:p w14:paraId="7DBFB41F">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3" w:firstLineChars="200"/>
        <w:textAlignment w:val="auto"/>
      </w:pPr>
      <w:r>
        <w:t>二、SCSR-H2-神谕的卓越设计与性能</w:t>
      </w:r>
    </w:p>
    <w:p w14:paraId="33BE5F4D">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42" w:firstLineChars="200"/>
        <w:textAlignment w:val="auto"/>
      </w:pPr>
      <w:r>
        <w:t>（一）创新设计</w:t>
      </w:r>
    </w:p>
    <w:p w14:paraId="13A200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SCSR-H2-神谕作为氢能源变革的先锋产品，融合了当前电动垂直起降飞行器设计中的诸多先进元素。其采用的倾转翼布局，相较于传统的倾转旋翼飞机，具有显著优势。在起飞过程中，机翼在较低的速度下就能产生升力，研究数据显示，当飞行器速度达到 15 - 20 节时，倾转翼布局的机翼升力系数比倾转旋翼飞机高出 20% - 30%，这使得起飞更加平稳，并且能耗降低了 15% - 20%。同时，倾转翼布局没有复杂的倾转旋翼机构，机械结构的简化不仅降低了设计和制造难度，还使得系统冗余设计更加容易实现。根据可靠性工程理论，系统的零部件数量减少 10%，其可靠性将提高 15% - 20%，这意味着 SCSR-H2-神谕在运行过程中的稳定性和安全性将得到极大提升。</w:t>
      </w:r>
    </w:p>
    <w:p w14:paraId="70C406EF">
      <w:pPr>
        <w:pStyle w:val="4"/>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42" w:firstLineChars="200"/>
        <w:textAlignment w:val="auto"/>
      </w:pPr>
      <w:r>
        <w:t>（二）先进的推进系统</w:t>
      </w:r>
    </w:p>
    <w:p w14:paraId="59AA8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SCSR-H2-神谕配备了分布式电推进系统，其中一块 48kWh 的地板式电池，在飞行器运行中发挥着关键作用。在垂直起降阶段，电池能够提供额外的电力支持，帮助飞行器更平稳地完成起降动作。根据模拟测试，在电池辅助下，垂直起降过程中燃料电池的负荷能够降低 20% - 30%，这不仅减少了燃料电池的损耗，还延长了其使用寿命。同时，这块电池还具备多种充电方式，除了可以通过外部插座进行独立充电外，在飞行过程中，当燃料电池产生的电压超过飞行器实际需求时，多余的电能可以自动为电池充电，充电效率高达 85% - 90%。</w:t>
      </w:r>
    </w:p>
    <w:p w14:paraId="0B5B1243">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3" w:firstLineChars="200"/>
        <w:textAlignment w:val="auto"/>
      </w:pPr>
      <w:r>
        <w:t>三、SCSR-H2-神谕对城市空中交通基础设施的变革</w:t>
      </w:r>
    </w:p>
    <w:p w14:paraId="37B8162C">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当前城市空中交通的发展离不开地面枢纽 —— 垂直起降场（vertiports）。一旦 SCSR-H2-神谕投入使用，这些垂直起降场将被赋予新的功能。通过合理的规划和改造，垂直起降场可以建设成为加氢中心。以一个中等规模的城市垂直起降场为例，预计建设成本在 500 - 800 万美元，建成后，每天可以为 20 - 30 架次的飞行器以及 50 - 80 辆氢能源汽车提供加氢服务。这不仅能够满足城市空中交通的能源需求，还能带动城市氢能源汽车产业的发展，形成一个完整的氢能源生态系统。随着氢燃料电池技术在城市空中交通领域的广泛应用，预计未来 5 - 8 年，氢燃料电池技术在整个交通领域的市场份额将从目前的不到 5% 提升至 20% - 30%，这将为投资者带来巨大的回报空间。</w:t>
      </w:r>
    </w:p>
    <w:p w14:paraId="50F4733C">
      <w:pPr>
        <w:pStyle w:val="3"/>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723" w:firstLineChars="200"/>
        <w:textAlignment w:val="auto"/>
      </w:pPr>
      <w:r>
        <w:t>四、氢燃料电池系统的功率 / 能量密度及性能预测</w:t>
      </w:r>
    </w:p>
    <w:p w14:paraId="6C59EA81">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pPr>
      <w:r>
        <w:rPr>
          <w:rFonts w:ascii="宋体" w:hAnsi="宋体" w:eastAsia="宋体" w:cs="宋体"/>
          <w:kern w:val="0"/>
          <w:sz w:val="24"/>
          <w:szCs w:val="24"/>
          <w:lang w:val="en-US" w:eastAsia="zh-CN" w:bidi="ar"/>
        </w:rPr>
        <w:t>为了确保 SCSR - H2 - 神谕的性能达到最优，我们对氢燃料电池系统的功率 / 能量密度进行了深入研究。目前，市场上先进的氢燃料电池系统功率密度已达到 2 - 3kW/kg，能量密度为 1.5 - 2.5kWh/kg。通过我们的优化设计和技术改进，预计在 SCSR-H2-神谕上应用的氢燃料电池系统，功率密度能够提升至 3.5 - 4.5kW/kg，能量密度提高到 3 - 4kWh/kg。这将使得飞行器在续航里程、飞行速度等方面取得显著突破。根据模拟计算，搭载优化后的氢燃料电池系统，SCSR-H2-神谕的最大续航里程将达到 500 - 800 公里，巡航速度能够达到 200 - 250 公里 / 小时，完全满足城市及周边区域的空中交通需求。</w:t>
      </w:r>
    </w:p>
    <w:p w14:paraId="695717B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宋体" w:hAnsi="宋体" w:eastAsia="宋体" w:cs="宋体"/>
          <w:b/>
          <w:bCs/>
          <w:kern w:val="0"/>
          <w:sz w:val="36"/>
          <w:szCs w:val="36"/>
          <w:lang w:val="en-US" w:eastAsia="zh-CN" w:bidi="ar"/>
        </w:rPr>
      </w:pPr>
      <w:r>
        <w:rPr>
          <w:rFonts w:hint="default" w:ascii="宋体" w:hAnsi="宋体" w:eastAsia="宋体" w:cs="宋体"/>
          <w:b/>
          <w:bCs/>
          <w:kern w:val="0"/>
          <w:sz w:val="36"/>
          <w:szCs w:val="36"/>
          <w:lang w:val="en-US" w:eastAsia="zh-CN" w:bidi="ar"/>
        </w:rPr>
        <w:drawing>
          <wp:inline distT="0" distB="0" distL="114300" distR="114300">
            <wp:extent cx="5266690" cy="2633345"/>
            <wp:effectExtent l="0" t="0" r="10160" b="14605"/>
            <wp:docPr id="8" name="图片 8" descr="SCSR-H2-神谕-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SCSR-H2-神谕-参数"/>
                    <pic:cNvPicPr>
                      <a:picLocks noChangeAspect="1"/>
                    </pic:cNvPicPr>
                  </pic:nvPicPr>
                  <pic:blipFill>
                    <a:blip r:embed="rId6"/>
                    <a:stretch>
                      <a:fillRect/>
                    </a:stretch>
                  </pic:blipFill>
                  <pic:spPr>
                    <a:xfrm>
                      <a:off x="0" y="0"/>
                      <a:ext cx="5266690" cy="2633345"/>
                    </a:xfrm>
                    <a:prstGeom prst="rect">
                      <a:avLst/>
                    </a:prstGeom>
                  </pic:spPr>
                </pic:pic>
              </a:graphicData>
            </a:graphic>
          </wp:inline>
        </w:drawing>
      </w:r>
      <w:r>
        <w:rPr>
          <w:rFonts w:hint="default" w:ascii="宋体" w:hAnsi="宋体" w:eastAsia="宋体" w:cs="宋体"/>
          <w:b/>
          <w:bCs/>
          <w:kern w:val="0"/>
          <w:sz w:val="36"/>
          <w:szCs w:val="36"/>
          <w:lang w:val="en-US" w:eastAsia="zh-CN" w:bidi="ar"/>
        </w:rPr>
        <w:t>‌</w:t>
      </w:r>
      <w:r>
        <w:rPr>
          <w:rFonts w:hint="default" w:ascii="宋体" w:hAnsi="宋体" w:eastAsia="宋体" w:cs="宋体"/>
          <w:b/>
          <w:bCs/>
          <w:kern w:val="0"/>
          <w:sz w:val="36"/>
          <w:szCs w:val="36"/>
          <w:lang w:val="en-US" w:eastAsia="zh-CN" w:bidi="ar"/>
        </w:rPr>
        <w:br w:type="textWrapping"/>
      </w:r>
      <w:r>
        <w:rPr>
          <w:rFonts w:hint="eastAsia" w:ascii="宋体" w:hAnsi="宋体" w:eastAsia="宋体" w:cs="宋体"/>
          <w:b/>
          <w:bCs/>
          <w:kern w:val="0"/>
          <w:sz w:val="36"/>
          <w:szCs w:val="36"/>
          <w:lang w:val="en-US" w:eastAsia="zh-CN" w:bidi="ar"/>
        </w:rPr>
        <w:t>五、</w:t>
      </w:r>
      <w:r>
        <w:rPr>
          <w:rFonts w:hint="default" w:ascii="宋体" w:hAnsi="宋体" w:eastAsia="宋体" w:cs="宋体"/>
          <w:b/>
          <w:bCs/>
          <w:kern w:val="0"/>
          <w:sz w:val="36"/>
          <w:szCs w:val="36"/>
          <w:lang w:val="en-US" w:eastAsia="zh-CN" w:bidi="ar"/>
        </w:rPr>
        <w:t>飞机制造全流程与关键节点</w:t>
      </w:r>
    </w:p>
    <w:p w14:paraId="3104089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一、飞机制造全流程与关键节点</w:t>
      </w:r>
      <w:r>
        <w:rPr>
          <w:rFonts w:hint="default" w:ascii="Arial" w:hAnsi="Arial" w:eastAsia="Arial" w:cs="Arial"/>
          <w:i w:val="0"/>
          <w:iCs w:val="0"/>
          <w:caps w:val="0"/>
          <w:color w:val="333333"/>
          <w:spacing w:val="0"/>
          <w:bdr w:val="none" w:color="auto" w:sz="0" w:space="0"/>
          <w:shd w:val="clear" w:fill="FFFFFF"/>
        </w:rPr>
        <w:t>‌</w:t>
      </w:r>
    </w:p>
    <w:p w14:paraId="5361B62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制造流程</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283"/>
        <w:gridCol w:w="1412"/>
        <w:gridCol w:w="3194"/>
        <w:gridCol w:w="2972"/>
      </w:tblGrid>
      <w:tr w14:paraId="1865E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673DF77D">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阶段</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6817FA42">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周期</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0E421AE">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核心任务</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EDBF1BE">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质量控制标准</w:t>
            </w:r>
          </w:p>
        </w:tc>
      </w:tr>
      <w:tr w14:paraId="7A5C1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F9DA79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设计验证</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B8E68C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6-8个月</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283BA6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倾转翼气动优化、氢电系统集成仿真</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BA7EF1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AS9100D航空设计规范</w:t>
            </w:r>
          </w:p>
        </w:tc>
      </w:tr>
      <w:tr w14:paraId="28A39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0F9C9B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原型机组装</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DF6D21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3-4个月</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FAB9AF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碳纤维机身成型、燃料电池堆嵌入</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470ECA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FAA Part 21适航要求</w:t>
            </w:r>
          </w:p>
        </w:tc>
      </w:tr>
      <w:tr w14:paraId="06869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902EB8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地面测试</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4F082B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2个月</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5C1870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动力系统满负荷运行、紧急断电模拟</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81F975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EASA CS-23/25/27</w:t>
            </w:r>
          </w:p>
        </w:tc>
      </w:tr>
      <w:tr w14:paraId="25355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84D018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适航认证</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0BDF39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12-18个月</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75988B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完成1,000小时试飞（含极端气候测试）</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E4A56E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ASTM F3061-19eVTOL标准</w:t>
            </w:r>
          </w:p>
        </w:tc>
      </w:tr>
      <w:tr w14:paraId="7073B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0F89C7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量产交付</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AAC0DC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45天/架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2C408B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模块化总装（机翼/机身/推进系统分线并行）</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679D8C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ISO 9001:2025</w:t>
            </w:r>
          </w:p>
        </w:tc>
      </w:tr>
    </w:tbl>
    <w:p w14:paraId="4BAD43D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核心参数表</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12"/>
        <w:gridCol w:w="3510"/>
        <w:gridCol w:w="3439"/>
      </w:tblGrid>
      <w:tr w14:paraId="3C84E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7A0AD15">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参数</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4CC6A64">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SCSR-H2-神谕</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AAAA7CC">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竞品参考值（纯电eVTOL）</w:t>
            </w:r>
          </w:p>
        </w:tc>
      </w:tr>
      <w:tr w14:paraId="3F5A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2BE769C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最大起飞重量</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636790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2,200kg</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04B162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1,500-1,800kg</w:t>
            </w:r>
          </w:p>
        </w:tc>
      </w:tr>
      <w:tr w14:paraId="1F5FA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249B394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燃料电池功率</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55F092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120kW（峰值）</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73AD89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无</w:t>
            </w:r>
          </w:p>
        </w:tc>
      </w:tr>
      <w:tr w14:paraId="011C6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4593EB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地板电池容量</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063E52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48kWh（支持双向充放电）</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1A85FB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80-100kWh（单向）</w:t>
            </w:r>
          </w:p>
        </w:tc>
      </w:tr>
      <w:tr w14:paraId="67DC3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B19DB5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储氢罐容量</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734383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50kg（70MPa碳纤维IV型）</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E90E0F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无</w:t>
            </w:r>
          </w:p>
        </w:tc>
      </w:tr>
      <w:tr w14:paraId="70248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03CC59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巡航速度</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6DBD3C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280km/h</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A74841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200-240km/h</w:t>
            </w:r>
          </w:p>
        </w:tc>
      </w:tr>
      <w:tr w14:paraId="7B74D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52B3429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最大航程</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A16D03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800km（氢+电混合模式）</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01FD68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150-250km（纯电）</w:t>
            </w:r>
          </w:p>
        </w:tc>
      </w:tr>
      <w:tr w14:paraId="27641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702E81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垂直起降能耗</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709461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1.2kWh/km</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38B53D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2.0-2.5kWh/km</w:t>
            </w:r>
          </w:p>
        </w:tc>
      </w:tr>
    </w:tbl>
    <w:p w14:paraId="49F48F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51" o:spt="1" style="height:1.5pt;width:0pt;" fillcolor="#333333" filled="t" stroked="f" coordsize="21600,21600" o:hr="t" o:hrstd="t" o:hrnoshade="t" o:hrpct="0" o:hralign="center">
            <v:path/>
            <v:fill on="t" focussize="0,0"/>
            <v:stroke on="f"/>
            <v:imagedata o:title=""/>
            <o:lock v:ext="edit"/>
            <w10:wrap type="none"/>
            <w10:anchorlock/>
          </v:rect>
        </w:pict>
      </w:r>
    </w:p>
    <w:p w14:paraId="723ACE8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二、供应链与核心供应商</w:t>
      </w:r>
      <w:r>
        <w:rPr>
          <w:rFonts w:hint="default" w:ascii="Arial" w:hAnsi="Arial" w:eastAsia="Arial" w:cs="Arial"/>
          <w:i w:val="0"/>
          <w:iCs w:val="0"/>
          <w:caps w:val="0"/>
          <w:color w:val="333333"/>
          <w:spacing w:val="0"/>
          <w:bdr w:val="none" w:color="auto" w:sz="0" w:space="0"/>
          <w:shd w:val="clear" w:fill="FFFFFF"/>
        </w:rPr>
        <w:t>‌</w:t>
      </w:r>
    </w:p>
    <w:p w14:paraId="32DBADE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一级供应商清单</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407"/>
        <w:gridCol w:w="1851"/>
        <w:gridCol w:w="2155"/>
        <w:gridCol w:w="3448"/>
      </w:tblGrid>
      <w:tr w14:paraId="53220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E64B96A">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组件</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79DC642">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供应商</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047215C9">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合作模式</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A0990A4">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技术指标</w:t>
            </w:r>
          </w:p>
        </w:tc>
      </w:tr>
      <w:tr w14:paraId="4D189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EBC0C1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燃料电池电堆</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E46B03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巴拉德动力系统</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C50FC2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定制开发（独家授权）</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E8E705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功率密度≥2.5kW/L，寿命20,000小时</w:t>
            </w:r>
          </w:p>
        </w:tc>
      </w:tr>
      <w:tr w14:paraId="0728C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6A74B5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碳纤维储氢罐</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70ECD0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Hexagon Purus</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4069C8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战略采购（年供500套）</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099CCE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70MPa IV型罐，重量比金属罐轻40%</w:t>
            </w:r>
          </w:p>
        </w:tc>
      </w:tr>
      <w:tr w14:paraId="74A6E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FA749E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倾转翼机构</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42D8FC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GKN航空航天</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221D3D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联合设计</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3D64D1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倾转角度精度±0.5°，耐疲劳性≥1e6次循环</w:t>
            </w:r>
          </w:p>
        </w:tc>
      </w:tr>
      <w:tr w14:paraId="714C3C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E50C98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分布式电机</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5CF583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MagniX</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8C6514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OEM采购</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27CAA1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单台功率50kW，推重比8:1</w:t>
            </w:r>
          </w:p>
        </w:tc>
      </w:tr>
      <w:tr w14:paraId="7CEF18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2BF0A4B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航电系统</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C2A793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霍尼韦尔</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2E1A5F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技术授权</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BE263A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DO-178C Level A认证</w:t>
            </w:r>
          </w:p>
        </w:tc>
      </w:tr>
    </w:tbl>
    <w:p w14:paraId="7307D53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成本与交付保障</w:t>
      </w:r>
      <w:r>
        <w:rPr>
          <w:rFonts w:hint="default" w:ascii="Arial" w:hAnsi="Arial" w:eastAsia="Arial" w:cs="Arial"/>
          <w:i w:val="0"/>
          <w:iCs w:val="0"/>
          <w:caps w:val="0"/>
          <w:color w:val="333333"/>
          <w:spacing w:val="0"/>
          <w:sz w:val="24"/>
          <w:szCs w:val="24"/>
          <w:bdr w:val="none" w:color="auto" w:sz="0" w:space="0"/>
          <w:shd w:val="clear" w:fill="FFFFFF"/>
        </w:rPr>
        <w:t>‌</w:t>
      </w:r>
    </w:p>
    <w:p w14:paraId="282F4566">
      <w:pPr>
        <w:keepNext w:val="0"/>
        <w:keepLines w:val="0"/>
        <w:widowControl/>
        <w:numPr>
          <w:ilvl w:val="0"/>
          <w:numId w:val="1"/>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本土化率</w:t>
      </w:r>
      <w:r>
        <w:rPr>
          <w:rFonts w:hint="default" w:ascii="Arial" w:hAnsi="Arial" w:eastAsia="Arial" w:cs="Arial"/>
          <w:i w:val="0"/>
          <w:iCs w:val="0"/>
          <w:caps w:val="0"/>
          <w:color w:val="333333"/>
          <w:spacing w:val="0"/>
          <w:sz w:val="24"/>
          <w:szCs w:val="24"/>
          <w:shd w:val="clear" w:fill="FFFFFF"/>
        </w:rPr>
        <w:t>‌：中国/欧盟工厂达60%，规避地缘风险。</w:t>
      </w:r>
    </w:p>
    <w:p w14:paraId="3764091B">
      <w:pPr>
        <w:keepNext w:val="0"/>
        <w:keepLines w:val="0"/>
        <w:widowControl/>
        <w:numPr>
          <w:ilvl w:val="0"/>
          <w:numId w:val="1"/>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库存策略</w:t>
      </w:r>
      <w:r>
        <w:rPr>
          <w:rFonts w:hint="default" w:ascii="Arial" w:hAnsi="Arial" w:eastAsia="Arial" w:cs="Arial"/>
          <w:i w:val="0"/>
          <w:iCs w:val="0"/>
          <w:caps w:val="0"/>
          <w:color w:val="333333"/>
          <w:spacing w:val="0"/>
          <w:sz w:val="24"/>
          <w:szCs w:val="24"/>
          <w:shd w:val="clear" w:fill="FFFFFF"/>
        </w:rPr>
        <w:t>‌：关键部件（如储氢罐）安全库存≥3个月用量。</w:t>
      </w:r>
    </w:p>
    <w:p w14:paraId="4D7D1192">
      <w:pPr>
        <w:keepNext w:val="0"/>
        <w:keepLines w:val="0"/>
        <w:widowControl/>
        <w:numPr>
          <w:ilvl w:val="0"/>
          <w:numId w:val="1"/>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备选方案</w:t>
      </w:r>
      <w:r>
        <w:rPr>
          <w:rFonts w:hint="default" w:ascii="Arial" w:hAnsi="Arial" w:eastAsia="Arial" w:cs="Arial"/>
          <w:i w:val="0"/>
          <w:iCs w:val="0"/>
          <w:caps w:val="0"/>
          <w:color w:val="333333"/>
          <w:spacing w:val="0"/>
          <w:sz w:val="24"/>
          <w:szCs w:val="24"/>
          <w:shd w:val="clear" w:fill="FFFFFF"/>
        </w:rPr>
        <w:t>‌：燃料电池电堆引入丰田/Plug Power为二级供应商。</w:t>
      </w:r>
    </w:p>
    <w:p w14:paraId="1C1DBAD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eastAsia" w:ascii="Arial" w:hAnsi="Arial" w:eastAsia="宋体" w:cs="Arial"/>
          <w:i w:val="0"/>
          <w:iCs w:val="0"/>
          <w:caps w:val="0"/>
          <w:color w:val="333333"/>
          <w:spacing w:val="0"/>
          <w:sz w:val="24"/>
          <w:szCs w:val="24"/>
          <w:lang w:eastAsia="zh-CN"/>
        </w:rPr>
      </w:pPr>
      <w:r>
        <w:rPr>
          <w:rFonts w:hint="eastAsia" w:ascii="Arial" w:hAnsi="Arial" w:eastAsia="宋体" w:cs="Arial"/>
          <w:i w:val="0"/>
          <w:iCs w:val="0"/>
          <w:caps w:val="0"/>
          <w:color w:val="333333"/>
          <w:spacing w:val="0"/>
          <w:sz w:val="24"/>
          <w:szCs w:val="24"/>
          <w:lang w:eastAsia="zh-CN"/>
        </w:rPr>
        <w:drawing>
          <wp:inline distT="0" distB="0" distL="114300" distR="114300">
            <wp:extent cx="5266690" cy="2633345"/>
            <wp:effectExtent l="0" t="0" r="10160" b="14605"/>
            <wp:docPr id="9" name="图片 9" descr="SCSR-H2-神谕-参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SCSR-H2-神谕-参数"/>
                    <pic:cNvPicPr>
                      <a:picLocks noChangeAspect="1"/>
                    </pic:cNvPicPr>
                  </pic:nvPicPr>
                  <pic:blipFill>
                    <a:blip r:embed="rId6"/>
                    <a:stretch>
                      <a:fillRect/>
                    </a:stretch>
                  </pic:blipFill>
                  <pic:spPr>
                    <a:xfrm>
                      <a:off x="0" y="0"/>
                      <a:ext cx="5266690" cy="2633345"/>
                    </a:xfrm>
                    <a:prstGeom prst="rect">
                      <a:avLst/>
                    </a:prstGeom>
                  </pic:spPr>
                </pic:pic>
              </a:graphicData>
            </a:graphic>
          </wp:inline>
        </w:drawing>
      </w:r>
    </w:p>
    <w:p w14:paraId="36C19EB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三、生产设施布局</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04"/>
        <w:gridCol w:w="2210"/>
        <w:gridCol w:w="1195"/>
        <w:gridCol w:w="2217"/>
        <w:gridCol w:w="1435"/>
      </w:tblGrid>
      <w:tr w14:paraId="57906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3580DF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基地位置</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A2F214D">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功能</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00CDA7BA">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年产能</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75D1E2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投资额（亿美元）</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B3F16E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投产时间</w:t>
            </w:r>
          </w:p>
        </w:tc>
      </w:tr>
      <w:tr w14:paraId="41289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373274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中国苏州</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400872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总装、测试</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9E7895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500架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53D402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722599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2026 Q3</w:t>
            </w:r>
          </w:p>
        </w:tc>
      </w:tr>
      <w:tr w14:paraId="790B0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E9128D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德国慕尼黑</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0017E4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燃料电池系统集成</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876CC6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300架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84AC7F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3.2</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3DE0F6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2027 Q1</w:t>
            </w:r>
          </w:p>
        </w:tc>
      </w:tr>
      <w:tr w14:paraId="24DDC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C933B7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美国德克萨斯</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A6AFE9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倾转翼制造</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1046AF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200架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A02C46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2.8</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615F72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2027 Q2</w:t>
            </w:r>
          </w:p>
        </w:tc>
      </w:tr>
    </w:tbl>
    <w:p w14:paraId="76EE905A">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53" o:spt="1" style="height:1.5pt;width:0pt;" fillcolor="#333333" filled="t" stroked="f" coordsize="21600,21600" o:hr="t" o:hrstd="t" o:hrnoshade="t" o:hrpct="0" o:hralign="center">
            <v:path/>
            <v:fill on="t" focussize="0,0"/>
            <v:stroke on="f"/>
            <v:imagedata o:title=""/>
            <o:lock v:ext="edit"/>
            <w10:wrap type="none"/>
            <w10:anchorlock/>
          </v:rect>
        </w:pict>
      </w:r>
    </w:p>
    <w:p w14:paraId="1BE9A3A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四、制造端风险控制</w:t>
      </w:r>
      <w:r>
        <w:rPr>
          <w:rFonts w:hint="default" w:ascii="Arial" w:hAnsi="Arial" w:eastAsia="Arial" w:cs="Arial"/>
          <w:i w:val="0"/>
          <w:iCs w:val="0"/>
          <w:caps w:val="0"/>
          <w:color w:val="333333"/>
          <w:spacing w:val="0"/>
          <w:bdr w:val="none" w:color="auto" w:sz="0" w:space="0"/>
          <w:shd w:val="clear" w:fill="FFFFFF"/>
        </w:rPr>
        <w:t>‌</w:t>
      </w:r>
    </w:p>
    <w:p w14:paraId="5E047E0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05" w:afterAutospacing="0" w:line="435" w:lineRule="atLeast"/>
        <w:ind w:left="0" w:right="0"/>
        <w:jc w:val="left"/>
        <w:rPr>
          <w:rFonts w:hint="default" w:ascii="Arial" w:hAnsi="Arial" w:eastAsia="Arial" w:cs="Arial"/>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技术泄露风险</w:t>
      </w:r>
      <w:r>
        <w:rPr>
          <w:rFonts w:hint="default" w:ascii="Arial" w:hAnsi="Arial" w:eastAsia="Arial" w:cs="Arial"/>
          <w:i w:val="0"/>
          <w:iCs w:val="0"/>
          <w:caps w:val="0"/>
          <w:color w:val="333333"/>
          <w:spacing w:val="0"/>
          <w:sz w:val="24"/>
          <w:szCs w:val="24"/>
          <w:bdr w:val="none" w:color="auto" w:sz="0" w:space="0"/>
          <w:shd w:val="clear" w:fill="FFFFFF"/>
        </w:rPr>
        <w:t>‌：</w:t>
      </w:r>
    </w:p>
    <w:p w14:paraId="1EB7E0D4">
      <w:pPr>
        <w:keepNext w:val="0"/>
        <w:keepLines w:val="0"/>
        <w:widowControl/>
        <w:numPr>
          <w:ilvl w:val="0"/>
          <w:numId w:val="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p>
    <w:p w14:paraId="6447EA57">
      <w:pPr>
        <w:keepNext w:val="0"/>
        <w:keepLines w:val="0"/>
        <w:widowControl/>
        <w:numPr>
          <w:ilvl w:val="1"/>
          <w:numId w:val="1"/>
        </w:numPr>
        <w:suppressLineNumbers w:val="0"/>
        <w:pBdr>
          <w:top w:val="none" w:color="auto" w:sz="0" w:space="0"/>
          <w:bottom w:val="none" w:color="auto" w:sz="0" w:space="0"/>
          <w:right w:val="none" w:color="auto" w:sz="0" w:space="0"/>
        </w:pBdr>
        <w:spacing w:before="60" w:beforeAutospacing="0" w:after="60" w:afterAutospacing="0" w:line="420" w:lineRule="atLeast"/>
        <w:ind w:left="720" w:right="0" w:hanging="360"/>
        <w:jc w:val="left"/>
      </w:pPr>
      <w:r>
        <w:rPr>
          <w:rFonts w:hint="default" w:ascii="Arial" w:hAnsi="Arial" w:eastAsia="Arial" w:cs="Arial"/>
          <w:i w:val="0"/>
          <w:iCs w:val="0"/>
          <w:caps w:val="0"/>
          <w:color w:val="333333"/>
          <w:spacing w:val="0"/>
          <w:sz w:val="24"/>
          <w:szCs w:val="24"/>
          <w:shd w:val="clear" w:fill="FFFFFF"/>
        </w:rPr>
        <w:t>核心专利（如倾转翼气动布局）申请全球PCT保护。</w:t>
      </w:r>
    </w:p>
    <w:p w14:paraId="7721E01E">
      <w:pPr>
        <w:keepNext w:val="0"/>
        <w:keepLines w:val="0"/>
        <w:widowControl/>
        <w:numPr>
          <w:ilvl w:val="1"/>
          <w:numId w:val="1"/>
        </w:numPr>
        <w:suppressLineNumbers w:val="0"/>
        <w:pBdr>
          <w:top w:val="none" w:color="auto" w:sz="0" w:space="0"/>
          <w:bottom w:val="none" w:color="auto" w:sz="0" w:space="0"/>
          <w:right w:val="none" w:color="auto" w:sz="0" w:space="0"/>
        </w:pBdr>
        <w:spacing w:before="60" w:beforeAutospacing="0" w:after="60" w:afterAutospacing="0" w:line="420" w:lineRule="atLeast"/>
        <w:ind w:left="720" w:right="0" w:hanging="360"/>
        <w:jc w:val="left"/>
      </w:pPr>
      <w:r>
        <w:rPr>
          <w:rFonts w:hint="default" w:ascii="Arial" w:hAnsi="Arial" w:eastAsia="Arial" w:cs="Arial"/>
          <w:i w:val="0"/>
          <w:iCs w:val="0"/>
          <w:caps w:val="0"/>
          <w:color w:val="333333"/>
          <w:spacing w:val="0"/>
          <w:sz w:val="24"/>
          <w:szCs w:val="24"/>
          <w:shd w:val="clear" w:fill="FFFFFF"/>
        </w:rPr>
        <w:t>与供应商签署《技术保密协议》，违约金达合同金额200%。</w:t>
      </w:r>
    </w:p>
    <w:p w14:paraId="6F5BD7C6">
      <w:pPr>
        <w:keepNext w:val="0"/>
        <w:keepLines w:val="0"/>
        <w:widowControl/>
        <w:numPr>
          <w:ilvl w:val="0"/>
          <w:numId w:val="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p>
    <w:p w14:paraId="54F6B7D2">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05" w:afterAutospacing="0" w:line="435" w:lineRule="atLeast"/>
        <w:ind w:left="0" w:right="0"/>
        <w:jc w:val="left"/>
        <w:rPr>
          <w:rFonts w:hint="default" w:ascii="Arial" w:hAnsi="Arial" w:eastAsia="Arial" w:cs="Arial"/>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供应链中断风险</w:t>
      </w:r>
      <w:r>
        <w:rPr>
          <w:rFonts w:hint="default" w:ascii="Arial" w:hAnsi="Arial" w:eastAsia="Arial" w:cs="Arial"/>
          <w:i w:val="0"/>
          <w:iCs w:val="0"/>
          <w:caps w:val="0"/>
          <w:color w:val="333333"/>
          <w:spacing w:val="0"/>
          <w:sz w:val="24"/>
          <w:szCs w:val="24"/>
          <w:bdr w:val="none" w:color="auto" w:sz="0" w:space="0"/>
          <w:shd w:val="clear" w:fill="FFFFFF"/>
        </w:rPr>
        <w:t>‌：</w:t>
      </w:r>
    </w:p>
    <w:p w14:paraId="4D8876AA">
      <w:pPr>
        <w:keepNext w:val="0"/>
        <w:keepLines w:val="0"/>
        <w:widowControl/>
        <w:numPr>
          <w:ilvl w:val="0"/>
          <w:numId w:val="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p>
    <w:p w14:paraId="38A05EE9">
      <w:pPr>
        <w:keepNext w:val="0"/>
        <w:keepLines w:val="0"/>
        <w:widowControl/>
        <w:numPr>
          <w:ilvl w:val="1"/>
          <w:numId w:val="3"/>
        </w:numPr>
        <w:suppressLineNumbers w:val="0"/>
        <w:pBdr>
          <w:top w:val="none" w:color="auto" w:sz="0" w:space="0"/>
          <w:bottom w:val="none" w:color="auto" w:sz="0" w:space="0"/>
          <w:right w:val="none" w:color="auto" w:sz="0" w:space="0"/>
        </w:pBdr>
        <w:tabs>
          <w:tab w:val="left" w:pos="1440"/>
        </w:tabs>
        <w:spacing w:before="60" w:beforeAutospacing="0" w:after="60" w:afterAutospacing="0" w:line="420" w:lineRule="atLeast"/>
        <w:ind w:left="720" w:right="0" w:hanging="360"/>
        <w:jc w:val="left"/>
      </w:pPr>
      <w:r>
        <w:rPr>
          <w:rFonts w:hint="default" w:ascii="Arial" w:hAnsi="Arial" w:eastAsia="Arial" w:cs="Arial"/>
          <w:i w:val="0"/>
          <w:iCs w:val="0"/>
          <w:caps w:val="0"/>
          <w:color w:val="333333"/>
          <w:spacing w:val="0"/>
          <w:sz w:val="24"/>
          <w:szCs w:val="24"/>
          <w:shd w:val="clear" w:fill="FFFFFF"/>
        </w:rPr>
        <w:t>氢燃料双源供应：中国（石化副产氢）+中东（绿氢）。</w:t>
      </w:r>
    </w:p>
    <w:p w14:paraId="7F41F0A7">
      <w:pPr>
        <w:keepNext w:val="0"/>
        <w:keepLines w:val="0"/>
        <w:widowControl/>
        <w:numPr>
          <w:ilvl w:val="1"/>
          <w:numId w:val="3"/>
        </w:numPr>
        <w:suppressLineNumbers w:val="0"/>
        <w:pBdr>
          <w:top w:val="none" w:color="auto" w:sz="0" w:space="0"/>
          <w:bottom w:val="none" w:color="auto" w:sz="0" w:space="0"/>
          <w:right w:val="none" w:color="auto" w:sz="0" w:space="0"/>
        </w:pBdr>
        <w:tabs>
          <w:tab w:val="left" w:pos="1440"/>
        </w:tabs>
        <w:spacing w:before="60" w:beforeAutospacing="0" w:after="60" w:afterAutospacing="0" w:line="420" w:lineRule="atLeast"/>
        <w:ind w:left="720" w:right="0" w:hanging="360"/>
        <w:jc w:val="left"/>
      </w:pPr>
      <w:r>
        <w:rPr>
          <w:rFonts w:hint="default" w:ascii="Arial" w:hAnsi="Arial" w:eastAsia="Arial" w:cs="Arial"/>
          <w:i w:val="0"/>
          <w:iCs w:val="0"/>
          <w:caps w:val="0"/>
          <w:color w:val="333333"/>
          <w:spacing w:val="0"/>
          <w:sz w:val="24"/>
          <w:szCs w:val="24"/>
          <w:shd w:val="clear" w:fill="FFFFFF"/>
        </w:rPr>
        <w:t>航空铝材储备：与美铝/俄铝签订10年长协价。</w:t>
      </w:r>
    </w:p>
    <w:p w14:paraId="71ED6086">
      <w:pPr>
        <w:keepNext w:val="0"/>
        <w:keepLines w:val="0"/>
        <w:widowControl/>
        <w:numPr>
          <w:ilvl w:val="0"/>
          <w:numId w:val="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p>
    <w:p w14:paraId="2B053D5B">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105" w:beforeAutospacing="0" w:after="105" w:afterAutospacing="0" w:line="435" w:lineRule="atLeast"/>
        <w:ind w:left="0" w:right="0"/>
        <w:jc w:val="left"/>
        <w:rPr>
          <w:rFonts w:hint="default" w:ascii="Arial" w:hAnsi="Arial" w:eastAsia="Arial" w:cs="Arial"/>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成本超支风险</w:t>
      </w:r>
      <w:r>
        <w:rPr>
          <w:rFonts w:hint="default" w:ascii="Arial" w:hAnsi="Arial" w:eastAsia="Arial" w:cs="Arial"/>
          <w:i w:val="0"/>
          <w:iCs w:val="0"/>
          <w:caps w:val="0"/>
          <w:color w:val="333333"/>
          <w:spacing w:val="0"/>
          <w:sz w:val="24"/>
          <w:szCs w:val="24"/>
          <w:bdr w:val="none" w:color="auto" w:sz="0" w:space="0"/>
          <w:shd w:val="clear" w:fill="FFFFFF"/>
        </w:rPr>
        <w:t>‌：</w:t>
      </w:r>
    </w:p>
    <w:p w14:paraId="1E81AB55">
      <w:pPr>
        <w:keepNext w:val="0"/>
        <w:keepLines w:val="0"/>
        <w:widowControl/>
        <w:numPr>
          <w:ilvl w:val="0"/>
          <w:numId w:val="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p>
    <w:p w14:paraId="0D9D0CFA">
      <w:pPr>
        <w:keepNext w:val="0"/>
        <w:keepLines w:val="0"/>
        <w:widowControl/>
        <w:numPr>
          <w:ilvl w:val="1"/>
          <w:numId w:val="4"/>
        </w:numPr>
        <w:suppressLineNumbers w:val="0"/>
        <w:pBdr>
          <w:top w:val="none" w:color="auto" w:sz="0" w:space="0"/>
          <w:bottom w:val="none" w:color="auto" w:sz="0" w:space="0"/>
          <w:right w:val="none" w:color="auto" w:sz="0" w:space="0"/>
        </w:pBdr>
        <w:tabs>
          <w:tab w:val="left" w:pos="1440"/>
        </w:tabs>
        <w:spacing w:before="60" w:beforeAutospacing="0" w:after="60" w:afterAutospacing="0" w:line="420" w:lineRule="atLeast"/>
        <w:ind w:left="720" w:right="0" w:hanging="360"/>
        <w:jc w:val="left"/>
      </w:pPr>
      <w:r>
        <w:rPr>
          <w:rFonts w:hint="default" w:ascii="Arial" w:hAnsi="Arial" w:eastAsia="Arial" w:cs="Arial"/>
          <w:i w:val="0"/>
          <w:iCs w:val="0"/>
          <w:caps w:val="0"/>
          <w:color w:val="333333"/>
          <w:spacing w:val="0"/>
          <w:sz w:val="24"/>
          <w:szCs w:val="24"/>
          <w:shd w:val="clear" w:fill="FFFFFF"/>
        </w:rPr>
        <w:t>采用数字孪生技术优化生产损耗，目标将废品率从5%降至1.2%。</w:t>
      </w:r>
    </w:p>
    <w:p w14:paraId="1CDD90E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pict>
          <v:rect id="_x0000_i1054" o:spt="1" style="height:1.5pt;width:0pt;" fillcolor="#333333" filled="t" stroked="f" coordsize="21600,21600" o:hr="t" o:hrstd="t" o:hrnoshade="t" o:hrpct="0" o:hralign="center">
            <v:path/>
            <v:fill on="t" focussize="0,0"/>
            <v:stroke on="f"/>
            <v:imagedata o:title=""/>
            <o:lock v:ext="edit"/>
            <w10:wrap type="none"/>
            <w10:anchorlock/>
          </v:rect>
        </w:pict>
      </w:r>
    </w:p>
    <w:p w14:paraId="0888F73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五、附录：制造流程可视化</w:t>
      </w:r>
      <w:r>
        <w:rPr>
          <w:rFonts w:hint="default" w:ascii="Arial" w:hAnsi="Arial" w:eastAsia="Arial" w:cs="Arial"/>
          <w:i w:val="0"/>
          <w:iCs w:val="0"/>
          <w:caps w:val="0"/>
          <w:color w:val="333333"/>
          <w:spacing w:val="0"/>
          <w:bdr w:val="none" w:color="auto" w:sz="0" w:space="0"/>
          <w:shd w:val="clear" w:fill="FFFFFF"/>
        </w:rPr>
        <w:t>‌</w:t>
      </w:r>
    </w:p>
    <w:p w14:paraId="752DC49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i w:val="0"/>
          <w:iCs w:val="0"/>
          <w:caps w:val="0"/>
          <w:color w:val="333333"/>
          <w:spacing w:val="0"/>
          <w:sz w:val="21"/>
          <w:szCs w:val="21"/>
        </w:rPr>
      </w:pPr>
      <w:r>
        <w:rPr>
          <w:rFonts w:ascii="宋体" w:hAnsi="宋体" w:eastAsia="宋体" w:cs="宋体"/>
          <w:i w:val="0"/>
          <w:iCs w:val="0"/>
          <w:caps w:val="0"/>
          <w:color w:val="333333"/>
          <w:spacing w:val="0"/>
          <w:kern w:val="0"/>
          <w:sz w:val="21"/>
          <w:szCs w:val="21"/>
          <w:bdr w:val="none" w:color="auto" w:sz="0" w:space="0"/>
          <w:lang w:val="en-US" w:eastAsia="zh-CN" w:bidi="ar"/>
        </w:rPr>
        <w:t>text</w:t>
      </w:r>
      <w:r>
        <w:rPr>
          <w:rFonts w:hint="default" w:ascii="Arial" w:hAnsi="Arial" w:eastAsia="Arial" w:cs="Arial"/>
          <w:i w:val="0"/>
          <w:iCs w:val="0"/>
          <w:caps w:val="0"/>
          <w:color w:val="333333"/>
          <w:spacing w:val="0"/>
          <w:kern w:val="0"/>
          <w:sz w:val="21"/>
          <w:szCs w:val="21"/>
          <w:u w:val="none"/>
          <w:bdr w:val="none" w:color="auto" w:sz="0" w:space="0"/>
          <w:lang w:val="en-US" w:eastAsia="zh-CN" w:bidi="ar"/>
        </w:rPr>
        <w:t>Copy Code</w:t>
      </w:r>
    </w:p>
    <w:p w14:paraId="38B9ACB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设计验证 → 原型机组装 → 地面测试 → 适航认证 → 量产交付  </w:t>
      </w:r>
    </w:p>
    <w:p w14:paraId="0B020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           ↓                ↓                  ↓  </w:t>
      </w:r>
    </w:p>
    <w:p w14:paraId="0A886F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i w:val="0"/>
          <w:iCs w:val="0"/>
          <w:caps w:val="0"/>
          <w:color w:val="333333"/>
          <w:spacing w:val="0"/>
          <w:sz w:val="24"/>
          <w:szCs w:val="24"/>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           (碳纤维成型)    (动力系统联调)     (模块化总装)  </w:t>
      </w:r>
    </w:p>
    <w:p w14:paraId="5DB8CDB2">
      <w:pPr>
        <w:pStyle w:val="4"/>
        <w:keepNext w:val="0"/>
        <w:keepLines w:val="0"/>
        <w:pageBreakBefore w:val="0"/>
        <w:widowControl/>
        <w:numPr>
          <w:ilvl w:val="0"/>
          <w:numId w:val="5"/>
        </w:numPr>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right="0" w:firstLine="723" w:firstLineChars="200"/>
        <w:jc w:val="left"/>
        <w:textAlignment w:val="auto"/>
        <w:rPr>
          <w:rFonts w:hint="eastAsia"/>
          <w:lang w:val="en-US" w:eastAsia="zh-CN"/>
        </w:rPr>
      </w:pPr>
      <w:r>
        <w:rPr>
          <w:rFonts w:hint="default" w:ascii="宋体" w:hAnsi="宋体" w:eastAsia="宋体" w:cs="宋体"/>
          <w:b/>
          <w:bCs/>
          <w:kern w:val="0"/>
          <w:sz w:val="36"/>
          <w:szCs w:val="36"/>
          <w:lang w:val="en-US" w:eastAsia="zh-CN" w:bidi="ar"/>
        </w:rPr>
        <w:t>商业模式与财务预测</w:t>
      </w:r>
    </w:p>
    <w:p w14:paraId="4D623C3D">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（一）核心收入模型</w:t>
      </w:r>
    </w:p>
    <w:p w14:paraId="3B05642E">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飞行器销售</w:t>
      </w:r>
      <w:r>
        <w:rPr>
          <w:rFonts w:hint="default" w:ascii="Arial" w:hAnsi="Arial" w:eastAsia="Arial" w:cs="Arial"/>
          <w:i w:val="0"/>
          <w:iCs w:val="0"/>
          <w:caps w:val="0"/>
          <w:color w:val="333333"/>
          <w:spacing w:val="0"/>
          <w:sz w:val="24"/>
          <w:szCs w:val="24"/>
          <w:bdr w:val="none" w:color="auto" w:sz="0" w:space="0"/>
          <w:shd w:val="clear" w:fill="FFFFFF"/>
        </w:rPr>
        <w:t>‌：</w:t>
      </w:r>
    </w:p>
    <w:p w14:paraId="46D708F8">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659" w:leftChars="314" w:right="0" w:rightChars="0" w:firstLine="0" w:firstLineChars="0"/>
        <w:jc w:val="left"/>
        <w:textAlignment w:val="auto"/>
      </w:pPr>
      <w:r>
        <w:rPr>
          <w:rFonts w:hint="eastAsia" w:ascii="Arial" w:hAnsi="Arial" w:eastAsia="宋体" w:cs="Arial"/>
          <w:i w:val="0"/>
          <w:iCs w:val="0"/>
          <w:caps w:val="0"/>
          <w:color w:val="333333"/>
          <w:spacing w:val="0"/>
          <w:sz w:val="24"/>
          <w:szCs w:val="24"/>
          <w:shd w:val="clear" w:fill="FFFFFF"/>
          <w:lang w:val="en-US" w:eastAsia="zh-CN"/>
        </w:rPr>
        <w:t>1、</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产品定价</w:t>
      </w:r>
      <w:r>
        <w:rPr>
          <w:rFonts w:hint="default" w:ascii="Arial" w:hAnsi="Arial" w:eastAsia="Arial" w:cs="Arial"/>
          <w:i w:val="0"/>
          <w:iCs w:val="0"/>
          <w:caps w:val="0"/>
          <w:color w:val="333333"/>
          <w:spacing w:val="0"/>
          <w:sz w:val="24"/>
          <w:szCs w:val="24"/>
          <w:shd w:val="clear" w:fill="FFFFFF"/>
        </w:rPr>
        <w:t>‌：根据研发及制造成本核算，单架SCSR-H2-神谕定价为‌</w:t>
      </w:r>
      <w:r>
        <w:rPr>
          <w:rStyle w:val="10"/>
          <w:rFonts w:hint="default" w:ascii="Arial" w:hAnsi="Arial" w:eastAsia="Arial" w:cs="Arial"/>
          <w:i w:val="0"/>
          <w:iCs w:val="0"/>
          <w:caps w:val="0"/>
          <w:color w:val="333333"/>
          <w:spacing w:val="0"/>
          <w:sz w:val="24"/>
          <w:szCs w:val="24"/>
          <w:bdr w:val="none" w:color="auto" w:sz="0" w:space="0"/>
          <w:shd w:val="clear" w:fill="FFFFFF"/>
        </w:rPr>
        <w:t>180万-220万美元</w:t>
      </w:r>
      <w:r>
        <w:rPr>
          <w:rFonts w:hint="default" w:ascii="Arial" w:hAnsi="Arial" w:eastAsia="Arial" w:cs="Arial"/>
          <w:i w:val="0"/>
          <w:iCs w:val="0"/>
          <w:caps w:val="0"/>
          <w:color w:val="333333"/>
          <w:spacing w:val="0"/>
          <w:sz w:val="24"/>
          <w:szCs w:val="24"/>
          <w:shd w:val="clear" w:fill="FFFFFF"/>
        </w:rPr>
        <w:t>‌（含燃料电池系统、倾转翼结构及分布式推进系统）。</w:t>
      </w:r>
    </w:p>
    <w:p w14:paraId="39671802">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659" w:leftChars="314" w:right="0" w:rightChars="0" w:firstLine="0" w:firstLineChars="0"/>
        <w:jc w:val="left"/>
        <w:textAlignment w:val="auto"/>
      </w:pPr>
      <w:r>
        <w:rPr>
          <w:rFonts w:hint="eastAsia" w:ascii="Arial" w:hAnsi="Arial" w:eastAsia="宋体" w:cs="Arial"/>
          <w:i w:val="0"/>
          <w:iCs w:val="0"/>
          <w:caps w:val="0"/>
          <w:color w:val="333333"/>
          <w:spacing w:val="0"/>
          <w:sz w:val="24"/>
          <w:szCs w:val="24"/>
          <w:shd w:val="clear" w:fill="FFFFFF"/>
          <w:lang w:val="en-US" w:eastAsia="zh-CN"/>
        </w:rPr>
        <w:t>2、</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成本结构</w:t>
      </w:r>
      <w:r>
        <w:rPr>
          <w:rFonts w:hint="default" w:ascii="Arial" w:hAnsi="Arial" w:eastAsia="Arial" w:cs="Arial"/>
          <w:i w:val="0"/>
          <w:iCs w:val="0"/>
          <w:caps w:val="0"/>
          <w:color w:val="333333"/>
          <w:spacing w:val="0"/>
          <w:sz w:val="24"/>
          <w:szCs w:val="24"/>
          <w:shd w:val="clear" w:fill="FFFFFF"/>
        </w:rPr>
        <w:t>‌：规模化生产后单架成本可降至‌</w:t>
      </w:r>
      <w:r>
        <w:rPr>
          <w:rStyle w:val="10"/>
          <w:rFonts w:hint="default" w:ascii="Arial" w:hAnsi="Arial" w:eastAsia="Arial" w:cs="Arial"/>
          <w:i w:val="0"/>
          <w:iCs w:val="0"/>
          <w:caps w:val="0"/>
          <w:color w:val="333333"/>
          <w:spacing w:val="0"/>
          <w:sz w:val="24"/>
          <w:szCs w:val="24"/>
          <w:bdr w:val="none" w:color="auto" w:sz="0" w:space="0"/>
          <w:shd w:val="clear" w:fill="FFFFFF"/>
        </w:rPr>
        <w:t>120万-150万美元</w:t>
      </w:r>
      <w:r>
        <w:rPr>
          <w:rFonts w:hint="default" w:ascii="Arial" w:hAnsi="Arial" w:eastAsia="Arial" w:cs="Arial"/>
          <w:i w:val="0"/>
          <w:iCs w:val="0"/>
          <w:caps w:val="0"/>
          <w:color w:val="333333"/>
          <w:spacing w:val="0"/>
          <w:sz w:val="24"/>
          <w:szCs w:val="24"/>
          <w:shd w:val="clear" w:fill="FFFFFF"/>
        </w:rPr>
        <w:t>‌，毛利率达‌</w:t>
      </w:r>
      <w:r>
        <w:rPr>
          <w:rStyle w:val="10"/>
          <w:rFonts w:hint="default" w:ascii="Arial" w:hAnsi="Arial" w:eastAsia="Arial" w:cs="Arial"/>
          <w:i w:val="0"/>
          <w:iCs w:val="0"/>
          <w:caps w:val="0"/>
          <w:color w:val="333333"/>
          <w:spacing w:val="0"/>
          <w:sz w:val="24"/>
          <w:szCs w:val="24"/>
          <w:bdr w:val="none" w:color="auto" w:sz="0" w:space="0"/>
          <w:shd w:val="clear" w:fill="FFFFFF"/>
        </w:rPr>
        <w:t>25%-35%</w:t>
      </w:r>
      <w:r>
        <w:rPr>
          <w:rFonts w:hint="default" w:ascii="Arial" w:hAnsi="Arial" w:eastAsia="Arial" w:cs="Arial"/>
          <w:i w:val="0"/>
          <w:iCs w:val="0"/>
          <w:caps w:val="0"/>
          <w:color w:val="333333"/>
          <w:spacing w:val="0"/>
          <w:sz w:val="24"/>
          <w:szCs w:val="24"/>
          <w:shd w:val="clear" w:fill="FFFFFF"/>
        </w:rPr>
        <w:t>‌。</w:t>
      </w:r>
    </w:p>
    <w:p w14:paraId="3BEE4EB5">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659" w:leftChars="314" w:right="0" w:rightChars="0" w:firstLine="0" w:firstLineChars="0"/>
        <w:jc w:val="left"/>
        <w:textAlignment w:val="auto"/>
      </w:pPr>
      <w:r>
        <w:rPr>
          <w:rFonts w:hint="eastAsia" w:ascii="Arial" w:hAnsi="Arial" w:eastAsia="宋体" w:cs="Arial"/>
          <w:i w:val="0"/>
          <w:iCs w:val="0"/>
          <w:caps w:val="0"/>
          <w:color w:val="333333"/>
          <w:spacing w:val="0"/>
          <w:sz w:val="24"/>
          <w:szCs w:val="24"/>
          <w:shd w:val="clear" w:fill="FFFFFF"/>
          <w:lang w:val="en-US" w:eastAsia="zh-CN"/>
        </w:rPr>
        <w:t>3、</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市场渗透率</w:t>
      </w:r>
      <w:r>
        <w:rPr>
          <w:rFonts w:hint="default" w:ascii="Arial" w:hAnsi="Arial" w:eastAsia="Arial" w:cs="Arial"/>
          <w:i w:val="0"/>
          <w:iCs w:val="0"/>
          <w:caps w:val="0"/>
          <w:color w:val="333333"/>
          <w:spacing w:val="0"/>
          <w:sz w:val="24"/>
          <w:szCs w:val="24"/>
          <w:shd w:val="clear" w:fill="FFFFFF"/>
        </w:rPr>
        <w:t>‌：预计2030年前占据全球UAM市场‌</w:t>
      </w:r>
      <w:r>
        <w:rPr>
          <w:rStyle w:val="10"/>
          <w:rFonts w:hint="default" w:ascii="Arial" w:hAnsi="Arial" w:eastAsia="Arial" w:cs="Arial"/>
          <w:i w:val="0"/>
          <w:iCs w:val="0"/>
          <w:caps w:val="0"/>
          <w:color w:val="333333"/>
          <w:spacing w:val="0"/>
          <w:sz w:val="24"/>
          <w:szCs w:val="24"/>
          <w:bdr w:val="none" w:color="auto" w:sz="0" w:space="0"/>
          <w:shd w:val="clear" w:fill="FFFFFF"/>
        </w:rPr>
        <w:t>15%-20%</w:t>
      </w:r>
      <w:r>
        <w:rPr>
          <w:rFonts w:hint="default" w:ascii="Arial" w:hAnsi="Arial" w:eastAsia="Arial" w:cs="Arial"/>
          <w:i w:val="0"/>
          <w:iCs w:val="0"/>
          <w:caps w:val="0"/>
          <w:color w:val="333333"/>
          <w:spacing w:val="0"/>
          <w:sz w:val="24"/>
          <w:szCs w:val="24"/>
          <w:shd w:val="clear" w:fill="FFFFFF"/>
        </w:rPr>
        <w:t>‌份额，年销量达‌</w:t>
      </w:r>
      <w:r>
        <w:rPr>
          <w:rStyle w:val="10"/>
          <w:rFonts w:hint="default" w:ascii="Arial" w:hAnsi="Arial" w:eastAsia="Arial" w:cs="Arial"/>
          <w:i w:val="0"/>
          <w:iCs w:val="0"/>
          <w:caps w:val="0"/>
          <w:color w:val="333333"/>
          <w:spacing w:val="0"/>
          <w:sz w:val="24"/>
          <w:szCs w:val="24"/>
          <w:bdr w:val="none" w:color="auto" w:sz="0" w:space="0"/>
          <w:shd w:val="clear" w:fill="FFFFFF"/>
        </w:rPr>
        <w:t>500-800架</w:t>
      </w:r>
      <w:r>
        <w:rPr>
          <w:rFonts w:hint="default" w:ascii="Arial" w:hAnsi="Arial" w:eastAsia="Arial" w:cs="Arial"/>
          <w:i w:val="0"/>
          <w:iCs w:val="0"/>
          <w:caps w:val="0"/>
          <w:color w:val="333333"/>
          <w:spacing w:val="0"/>
          <w:sz w:val="24"/>
          <w:szCs w:val="24"/>
          <w:shd w:val="clear" w:fill="FFFFFF"/>
        </w:rPr>
        <w:t>‌（按2035年市场规模800亿美元测算）。</w:t>
      </w:r>
    </w:p>
    <w:p w14:paraId="16F07A8C">
      <w:pPr>
        <w:keepNext w:val="0"/>
        <w:keepLines w:val="0"/>
        <w:pageBreakBefore w:val="0"/>
        <w:widowControl/>
        <w:numPr>
          <w:ilvl w:val="0"/>
          <w:numId w:val="6"/>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20" w:firstLineChars="200"/>
        <w:jc w:val="left"/>
        <w:textAlignment w:val="auto"/>
      </w:pPr>
    </w:p>
    <w:p w14:paraId="2F719BC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氢能源服务</w:t>
      </w:r>
    </w:p>
    <w:p w14:paraId="117591D2">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Chars="200" w:right="0" w:rightChars="0"/>
        <w:jc w:val="left"/>
        <w:textAlignment w:val="auto"/>
      </w:pPr>
      <w:r>
        <w:rPr>
          <w:rFonts w:hint="eastAsia" w:ascii="Arial" w:hAnsi="Arial" w:eastAsia="宋体" w:cs="Arial"/>
          <w:i w:val="0"/>
          <w:iCs w:val="0"/>
          <w:caps w:val="0"/>
          <w:color w:val="333333"/>
          <w:spacing w:val="0"/>
          <w:sz w:val="24"/>
          <w:szCs w:val="24"/>
          <w:shd w:val="clear" w:fill="FFFFFF"/>
          <w:lang w:val="en-US" w:eastAsia="zh-CN"/>
        </w:rPr>
        <w:t>1、</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加氢服务费</w:t>
      </w:r>
      <w:r>
        <w:rPr>
          <w:rFonts w:hint="default" w:ascii="Arial" w:hAnsi="Arial" w:eastAsia="Arial" w:cs="Arial"/>
          <w:i w:val="0"/>
          <w:iCs w:val="0"/>
          <w:caps w:val="0"/>
          <w:color w:val="333333"/>
          <w:spacing w:val="0"/>
          <w:sz w:val="24"/>
          <w:szCs w:val="24"/>
          <w:shd w:val="clear" w:fill="FFFFFF"/>
        </w:rPr>
        <w:t>‌：按每公斤氢气‌</w:t>
      </w:r>
      <w:r>
        <w:rPr>
          <w:rStyle w:val="10"/>
          <w:rFonts w:hint="default" w:ascii="Arial" w:hAnsi="Arial" w:eastAsia="Arial" w:cs="Arial"/>
          <w:i w:val="0"/>
          <w:iCs w:val="0"/>
          <w:caps w:val="0"/>
          <w:color w:val="333333"/>
          <w:spacing w:val="0"/>
          <w:sz w:val="24"/>
          <w:szCs w:val="24"/>
          <w:bdr w:val="none" w:color="auto" w:sz="0" w:space="0"/>
          <w:shd w:val="clear" w:fill="FFFFFF"/>
        </w:rPr>
        <w:t>8-12美元</w:t>
      </w:r>
      <w:r>
        <w:rPr>
          <w:rFonts w:hint="default" w:ascii="Arial" w:hAnsi="Arial" w:eastAsia="Arial" w:cs="Arial"/>
          <w:i w:val="0"/>
          <w:iCs w:val="0"/>
          <w:caps w:val="0"/>
          <w:color w:val="333333"/>
          <w:spacing w:val="0"/>
          <w:sz w:val="24"/>
          <w:szCs w:val="24"/>
          <w:shd w:val="clear" w:fill="FFFFFF"/>
        </w:rPr>
        <w:t>‌收费（当前制氢成本已降至‌</w:t>
      </w:r>
      <w:r>
        <w:rPr>
          <w:rStyle w:val="10"/>
          <w:rFonts w:hint="default" w:ascii="Arial" w:hAnsi="Arial" w:eastAsia="Arial" w:cs="Arial"/>
          <w:i w:val="0"/>
          <w:iCs w:val="0"/>
          <w:caps w:val="0"/>
          <w:color w:val="333333"/>
          <w:spacing w:val="0"/>
          <w:sz w:val="24"/>
          <w:szCs w:val="24"/>
          <w:bdr w:val="none" w:color="auto" w:sz="0" w:space="0"/>
          <w:shd w:val="clear" w:fill="FFFFFF"/>
        </w:rPr>
        <w:t>4-6美元/kg</w:t>
      </w:r>
      <w:r>
        <w:rPr>
          <w:rFonts w:hint="default" w:ascii="Arial" w:hAnsi="Arial" w:eastAsia="Arial" w:cs="Arial"/>
          <w:i w:val="0"/>
          <w:iCs w:val="0"/>
          <w:caps w:val="0"/>
          <w:color w:val="333333"/>
          <w:spacing w:val="0"/>
          <w:sz w:val="24"/>
          <w:szCs w:val="24"/>
          <w:shd w:val="clear" w:fill="FFFFFF"/>
        </w:rPr>
        <w:t>‌，未来3年可进一步压缩至‌</w:t>
      </w:r>
      <w:r>
        <w:rPr>
          <w:rStyle w:val="10"/>
          <w:rFonts w:hint="default" w:ascii="Arial" w:hAnsi="Arial" w:eastAsia="Arial" w:cs="Arial"/>
          <w:i w:val="0"/>
          <w:iCs w:val="0"/>
          <w:caps w:val="0"/>
          <w:color w:val="333333"/>
          <w:spacing w:val="0"/>
          <w:sz w:val="24"/>
          <w:szCs w:val="24"/>
          <w:bdr w:val="none" w:color="auto" w:sz="0" w:space="0"/>
          <w:shd w:val="clear" w:fill="FFFFFF"/>
        </w:rPr>
        <w:t>3-4美元/kg</w:t>
      </w:r>
      <w:r>
        <w:rPr>
          <w:rFonts w:hint="default" w:ascii="Arial" w:hAnsi="Arial" w:eastAsia="Arial" w:cs="Arial"/>
          <w:i w:val="0"/>
          <w:iCs w:val="0"/>
          <w:caps w:val="0"/>
          <w:color w:val="333333"/>
          <w:spacing w:val="0"/>
          <w:sz w:val="24"/>
          <w:szCs w:val="24"/>
          <w:shd w:val="clear" w:fill="FFFFFF"/>
        </w:rPr>
        <w:t>‌），单次加氢量50kg的飞行器服务费为‌</w:t>
      </w:r>
      <w:r>
        <w:rPr>
          <w:rStyle w:val="10"/>
          <w:rFonts w:hint="default" w:ascii="Arial" w:hAnsi="Arial" w:eastAsia="Arial" w:cs="Arial"/>
          <w:i w:val="0"/>
          <w:iCs w:val="0"/>
          <w:caps w:val="0"/>
          <w:color w:val="333333"/>
          <w:spacing w:val="0"/>
          <w:sz w:val="24"/>
          <w:szCs w:val="24"/>
          <w:bdr w:val="none" w:color="auto" w:sz="0" w:space="0"/>
          <w:shd w:val="clear" w:fill="FFFFFF"/>
        </w:rPr>
        <w:t>400-600美元/次</w:t>
      </w:r>
      <w:r>
        <w:rPr>
          <w:rFonts w:hint="default" w:ascii="Arial" w:hAnsi="Arial" w:eastAsia="Arial" w:cs="Arial"/>
          <w:i w:val="0"/>
          <w:iCs w:val="0"/>
          <w:caps w:val="0"/>
          <w:color w:val="333333"/>
          <w:spacing w:val="0"/>
          <w:sz w:val="24"/>
          <w:szCs w:val="24"/>
          <w:shd w:val="clear" w:fill="FFFFFF"/>
        </w:rPr>
        <w:t>‌。</w:t>
      </w:r>
    </w:p>
    <w:p w14:paraId="3CB20F1E">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Chars="200" w:right="0" w:rightChars="0"/>
        <w:jc w:val="left"/>
        <w:textAlignment w:val="auto"/>
      </w:pPr>
      <w:r>
        <w:rPr>
          <w:rFonts w:hint="eastAsia" w:ascii="Arial" w:hAnsi="Arial" w:eastAsia="宋体" w:cs="Arial"/>
          <w:i w:val="0"/>
          <w:iCs w:val="0"/>
          <w:caps w:val="0"/>
          <w:color w:val="333333"/>
          <w:spacing w:val="0"/>
          <w:sz w:val="24"/>
          <w:szCs w:val="24"/>
          <w:shd w:val="clear" w:fill="FFFFFF"/>
          <w:lang w:val="en-US" w:eastAsia="zh-CN"/>
        </w:rPr>
        <w:t>2、</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电池租赁</w:t>
      </w:r>
      <w:r>
        <w:rPr>
          <w:rFonts w:hint="default" w:ascii="Arial" w:hAnsi="Arial" w:eastAsia="Arial" w:cs="Arial"/>
          <w:i w:val="0"/>
          <w:iCs w:val="0"/>
          <w:caps w:val="0"/>
          <w:color w:val="333333"/>
          <w:spacing w:val="0"/>
          <w:sz w:val="24"/>
          <w:szCs w:val="24"/>
          <w:shd w:val="clear" w:fill="FFFFFF"/>
        </w:rPr>
        <w:t>‌：48kWh地板电池按‌</w:t>
      </w:r>
      <w:r>
        <w:rPr>
          <w:rStyle w:val="10"/>
          <w:rFonts w:hint="default" w:ascii="Arial" w:hAnsi="Arial" w:eastAsia="Arial" w:cs="Arial"/>
          <w:i w:val="0"/>
          <w:iCs w:val="0"/>
          <w:caps w:val="0"/>
          <w:color w:val="333333"/>
          <w:spacing w:val="0"/>
          <w:sz w:val="24"/>
          <w:szCs w:val="24"/>
          <w:bdr w:val="none" w:color="auto" w:sz="0" w:space="0"/>
          <w:shd w:val="clear" w:fill="FFFFFF"/>
        </w:rPr>
        <w:t>0.15-0.20美元/Wh/年</w:t>
      </w:r>
      <w:r>
        <w:rPr>
          <w:rFonts w:hint="default" w:ascii="Arial" w:hAnsi="Arial" w:eastAsia="Arial" w:cs="Arial"/>
          <w:i w:val="0"/>
          <w:iCs w:val="0"/>
          <w:caps w:val="0"/>
          <w:color w:val="333333"/>
          <w:spacing w:val="0"/>
          <w:sz w:val="24"/>
          <w:szCs w:val="24"/>
          <w:shd w:val="clear" w:fill="FFFFFF"/>
        </w:rPr>
        <w:t>‌收费，单架年收入约‌</w:t>
      </w:r>
      <w:r>
        <w:rPr>
          <w:rStyle w:val="10"/>
          <w:rFonts w:hint="default" w:ascii="Arial" w:hAnsi="Arial" w:eastAsia="Arial" w:cs="Arial"/>
          <w:i w:val="0"/>
          <w:iCs w:val="0"/>
          <w:caps w:val="0"/>
          <w:color w:val="333333"/>
          <w:spacing w:val="0"/>
          <w:sz w:val="24"/>
          <w:szCs w:val="24"/>
          <w:bdr w:val="none" w:color="auto" w:sz="0" w:space="0"/>
          <w:shd w:val="clear" w:fill="FFFFFF"/>
        </w:rPr>
        <w:t>7,200-9,600美元</w:t>
      </w:r>
      <w:r>
        <w:rPr>
          <w:rFonts w:hint="default" w:ascii="Arial" w:hAnsi="Arial" w:eastAsia="Arial" w:cs="Arial"/>
          <w:i w:val="0"/>
          <w:iCs w:val="0"/>
          <w:caps w:val="0"/>
          <w:color w:val="333333"/>
          <w:spacing w:val="0"/>
          <w:sz w:val="24"/>
          <w:szCs w:val="24"/>
          <w:shd w:val="clear" w:fill="FFFFFF"/>
        </w:rPr>
        <w:t>‌。</w:t>
      </w:r>
    </w:p>
    <w:p w14:paraId="0487B83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基础设施运营</w:t>
      </w:r>
      <w:r>
        <w:rPr>
          <w:rFonts w:hint="default" w:ascii="Arial" w:hAnsi="Arial" w:eastAsia="Arial" w:cs="Arial"/>
          <w:i w:val="0"/>
          <w:iCs w:val="0"/>
          <w:caps w:val="0"/>
          <w:color w:val="333333"/>
          <w:spacing w:val="0"/>
          <w:sz w:val="24"/>
          <w:szCs w:val="24"/>
          <w:bdr w:val="none" w:color="auto" w:sz="0" w:space="0"/>
          <w:shd w:val="clear" w:fill="FFFFFF"/>
        </w:rPr>
        <w:t>‌：</w:t>
      </w:r>
    </w:p>
    <w:p w14:paraId="15934E6D">
      <w:pPr>
        <w:keepNext w:val="0"/>
        <w:keepLines w:val="0"/>
        <w:pageBreakBefore w:val="0"/>
        <w:widowControl/>
        <w:numPr>
          <w:numId w:val="0"/>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Chars="200" w:right="0" w:rightChars="0"/>
        <w:jc w:val="left"/>
        <w:textAlignment w:val="auto"/>
        <w:rPr>
          <w:rFonts w:hint="default" w:ascii="Arial" w:hAnsi="Arial" w:eastAsia="Arial" w:cs="Arial"/>
          <w:i w:val="0"/>
          <w:iCs w:val="0"/>
          <w:caps w:val="0"/>
          <w:color w:val="333333"/>
          <w:spacing w:val="0"/>
          <w:sz w:val="24"/>
          <w:szCs w:val="24"/>
        </w:rPr>
      </w:pPr>
      <w:r>
        <w:rPr>
          <w:rFonts w:hint="eastAsia" w:ascii="Arial" w:hAnsi="Arial" w:eastAsia="宋体" w:cs="Arial"/>
          <w:i w:val="0"/>
          <w:iCs w:val="0"/>
          <w:caps w:val="0"/>
          <w:color w:val="333333"/>
          <w:spacing w:val="0"/>
          <w:sz w:val="24"/>
          <w:szCs w:val="24"/>
          <w:shd w:val="clear" w:fill="FFFFFF"/>
          <w:lang w:val="en-US" w:eastAsia="zh-CN"/>
        </w:rPr>
        <w:t>1、</w:t>
      </w: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垂直起降场改造</w:t>
      </w:r>
      <w:r>
        <w:rPr>
          <w:rFonts w:hint="default" w:ascii="Arial" w:hAnsi="Arial" w:eastAsia="Arial" w:cs="Arial"/>
          <w:i w:val="0"/>
          <w:iCs w:val="0"/>
          <w:caps w:val="0"/>
          <w:color w:val="333333"/>
          <w:spacing w:val="0"/>
          <w:sz w:val="24"/>
          <w:szCs w:val="24"/>
          <w:shd w:val="clear" w:fill="FFFFFF"/>
        </w:rPr>
        <w:t>‌：单个加氢中心建设成本‌</w:t>
      </w:r>
      <w:r>
        <w:rPr>
          <w:rStyle w:val="10"/>
          <w:rFonts w:hint="default" w:ascii="Arial" w:hAnsi="Arial" w:eastAsia="Arial" w:cs="Arial"/>
          <w:i w:val="0"/>
          <w:iCs w:val="0"/>
          <w:caps w:val="0"/>
          <w:color w:val="333333"/>
          <w:spacing w:val="0"/>
          <w:sz w:val="24"/>
          <w:szCs w:val="24"/>
          <w:bdr w:val="none" w:color="auto" w:sz="0" w:space="0"/>
          <w:shd w:val="clear" w:fill="FFFFFF"/>
        </w:rPr>
        <w:t>500-800万美元</w:t>
      </w:r>
      <w:r>
        <w:rPr>
          <w:rFonts w:hint="default" w:ascii="Arial" w:hAnsi="Arial" w:eastAsia="Arial" w:cs="Arial"/>
          <w:i w:val="0"/>
          <w:iCs w:val="0"/>
          <w:caps w:val="0"/>
          <w:color w:val="333333"/>
          <w:spacing w:val="0"/>
          <w:sz w:val="24"/>
          <w:szCs w:val="24"/>
          <w:shd w:val="clear" w:fill="FFFFFF"/>
        </w:rPr>
        <w:t>‌，日均服务20架次飞行器+50辆氢能汽车，年收入可达‌</w:t>
      </w:r>
      <w:r>
        <w:rPr>
          <w:rStyle w:val="10"/>
          <w:rFonts w:hint="default" w:ascii="Arial" w:hAnsi="Arial" w:eastAsia="Arial" w:cs="Arial"/>
          <w:i w:val="0"/>
          <w:iCs w:val="0"/>
          <w:caps w:val="0"/>
          <w:color w:val="333333"/>
          <w:spacing w:val="0"/>
          <w:sz w:val="24"/>
          <w:szCs w:val="24"/>
          <w:bdr w:val="none" w:color="auto" w:sz="0" w:space="0"/>
          <w:shd w:val="clear" w:fill="FFFFFF"/>
        </w:rPr>
        <w:t>360万-600万美元</w:t>
      </w:r>
      <w:r>
        <w:rPr>
          <w:rFonts w:hint="default" w:ascii="Arial" w:hAnsi="Arial" w:eastAsia="Arial" w:cs="Arial"/>
          <w:i w:val="0"/>
          <w:iCs w:val="0"/>
          <w:caps w:val="0"/>
          <w:color w:val="333333"/>
          <w:spacing w:val="0"/>
          <w:sz w:val="24"/>
          <w:szCs w:val="24"/>
          <w:shd w:val="clear" w:fill="FFFFFF"/>
        </w:rPr>
        <w:t>‌（按加氢服务费+停车费+广告分成综合计算），投资回收期‌</w:t>
      </w:r>
      <w:r>
        <w:rPr>
          <w:rStyle w:val="10"/>
          <w:rFonts w:hint="default" w:ascii="Arial" w:hAnsi="Arial" w:eastAsia="Arial" w:cs="Arial"/>
          <w:i w:val="0"/>
          <w:iCs w:val="0"/>
          <w:caps w:val="0"/>
          <w:color w:val="333333"/>
          <w:spacing w:val="0"/>
          <w:sz w:val="24"/>
          <w:szCs w:val="24"/>
          <w:bdr w:val="none" w:color="auto" w:sz="0" w:space="0"/>
          <w:shd w:val="clear" w:fill="FFFFFF"/>
        </w:rPr>
        <w:t>2-3年</w:t>
      </w:r>
      <w:r>
        <w:rPr>
          <w:rFonts w:hint="default" w:ascii="Arial" w:hAnsi="Arial" w:eastAsia="Arial" w:cs="Arial"/>
          <w:i w:val="0"/>
          <w:iCs w:val="0"/>
          <w:caps w:val="0"/>
          <w:color w:val="333333"/>
          <w:spacing w:val="0"/>
          <w:sz w:val="24"/>
          <w:szCs w:val="24"/>
          <w:shd w:val="clear" w:fill="FFFFFF"/>
        </w:rPr>
        <w:t>‌。</w:t>
      </w:r>
    </w:p>
    <w:p w14:paraId="50DF9860">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（二）投资回报测算</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995"/>
        <w:gridCol w:w="1950"/>
        <w:gridCol w:w="1857"/>
        <w:gridCol w:w="1904"/>
      </w:tblGrid>
      <w:tr w14:paraId="41D65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1950" w:type="dxa"/>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D7A1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指标</w:t>
            </w:r>
          </w:p>
        </w:tc>
        <w:tc>
          <w:tcPr>
            <w:tcW w:w="1920"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06AA6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2025-2027（试点期）</w:t>
            </w:r>
          </w:p>
        </w:tc>
        <w:tc>
          <w:tcPr>
            <w:tcW w:w="1827"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9FAB8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2028-2030（扩张期）</w:t>
            </w:r>
          </w:p>
        </w:tc>
        <w:tc>
          <w:tcPr>
            <w:tcW w:w="1859"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D70C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2031-2035（成熟期）</w:t>
            </w:r>
          </w:p>
        </w:tc>
      </w:tr>
      <w:tr w14:paraId="02EBF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1950" w:type="dxa"/>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37AEC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累计投资额（亿美元）</w:t>
            </w:r>
          </w:p>
        </w:tc>
        <w:tc>
          <w:tcPr>
            <w:tcW w:w="192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F942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5-8</w:t>
            </w:r>
          </w:p>
        </w:tc>
        <w:tc>
          <w:tcPr>
            <w:tcW w:w="18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E134C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15-20</w:t>
            </w:r>
          </w:p>
        </w:tc>
        <w:tc>
          <w:tcPr>
            <w:tcW w:w="185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68F06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30-40</w:t>
            </w:r>
          </w:p>
        </w:tc>
      </w:tr>
      <w:tr w14:paraId="1658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1950" w:type="dxa"/>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16CC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240" w:firstLineChars="1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年收入</w:t>
            </w:r>
            <w:r>
              <w:rPr>
                <w:rFonts w:hint="eastAsia" w:ascii="Arial" w:hAnsi="Arial" w:eastAsia="Arial" w:cs="Arial"/>
                <w:i w:val="0"/>
                <w:iCs w:val="0"/>
                <w:caps w:val="0"/>
                <w:color w:val="333333"/>
                <w:spacing w:val="0"/>
                <w:kern w:val="0"/>
                <w:sz w:val="24"/>
                <w:szCs w:val="24"/>
                <w:bdr w:val="none" w:color="auto" w:sz="0" w:space="0"/>
                <w:lang w:val="en-US" w:eastAsia="zh-CN" w:bidi="ar"/>
              </w:rPr>
              <w:t xml:space="preserve">    </w:t>
            </w:r>
            <w:r>
              <w:rPr>
                <w:rFonts w:hint="default" w:ascii="Arial" w:hAnsi="Arial" w:eastAsia="Arial" w:cs="Arial"/>
                <w:i w:val="0"/>
                <w:iCs w:val="0"/>
                <w:caps w:val="0"/>
                <w:color w:val="333333"/>
                <w:spacing w:val="0"/>
                <w:kern w:val="0"/>
                <w:sz w:val="24"/>
                <w:szCs w:val="24"/>
                <w:bdr w:val="none" w:color="auto" w:sz="0" w:space="0"/>
                <w:lang w:val="en-US" w:eastAsia="zh-CN" w:bidi="ar"/>
              </w:rPr>
              <w:t>（亿美元）</w:t>
            </w:r>
          </w:p>
        </w:tc>
        <w:tc>
          <w:tcPr>
            <w:tcW w:w="192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A3D35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1.2-2.5</w:t>
            </w:r>
          </w:p>
        </w:tc>
        <w:tc>
          <w:tcPr>
            <w:tcW w:w="18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6F15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8-12</w:t>
            </w:r>
          </w:p>
        </w:tc>
        <w:tc>
          <w:tcPr>
            <w:tcW w:w="185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ABFF2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25-35</w:t>
            </w:r>
          </w:p>
        </w:tc>
      </w:tr>
      <w:tr w14:paraId="7965F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1950" w:type="dxa"/>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CF318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240" w:firstLineChars="1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净利润率</w:t>
            </w:r>
          </w:p>
        </w:tc>
        <w:tc>
          <w:tcPr>
            <w:tcW w:w="192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3D3339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10%-15%</w:t>
            </w:r>
          </w:p>
        </w:tc>
        <w:tc>
          <w:tcPr>
            <w:tcW w:w="18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F254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18%-22%</w:t>
            </w:r>
          </w:p>
        </w:tc>
        <w:tc>
          <w:tcPr>
            <w:tcW w:w="185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D5CE3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25%-30%</w:t>
            </w:r>
          </w:p>
        </w:tc>
      </w:tr>
      <w:tr w14:paraId="724C4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1950" w:type="dxa"/>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A1730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ROI（5年期）</w:t>
            </w:r>
          </w:p>
        </w:tc>
        <w:tc>
          <w:tcPr>
            <w:tcW w:w="192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0B0BF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120%-150%</w:t>
            </w:r>
          </w:p>
        </w:tc>
        <w:tc>
          <w:tcPr>
            <w:tcW w:w="18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EAD4C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200%-250%</w:t>
            </w:r>
          </w:p>
        </w:tc>
        <w:tc>
          <w:tcPr>
            <w:tcW w:w="185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F578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300%-400%</w:t>
            </w:r>
          </w:p>
        </w:tc>
      </w:tr>
    </w:tbl>
    <w:p w14:paraId="3E7213D4">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关键数据支撑</w:t>
      </w:r>
      <w:r>
        <w:rPr>
          <w:rFonts w:hint="default" w:ascii="Arial" w:hAnsi="Arial" w:eastAsia="Arial" w:cs="Arial"/>
          <w:i w:val="0"/>
          <w:iCs w:val="0"/>
          <w:caps w:val="0"/>
          <w:color w:val="333333"/>
          <w:spacing w:val="0"/>
          <w:sz w:val="24"/>
          <w:szCs w:val="24"/>
          <w:bdr w:val="none" w:color="auto" w:sz="0" w:space="0"/>
          <w:shd w:val="clear" w:fill="FFFFFF"/>
        </w:rPr>
        <w:t>‌：</w:t>
      </w:r>
    </w:p>
    <w:p w14:paraId="33E9E2FF">
      <w:pPr>
        <w:keepNext w:val="0"/>
        <w:keepLines w:val="0"/>
        <w:pageBreakBefore w:val="0"/>
        <w:widowControl/>
        <w:numPr>
          <w:ilvl w:val="0"/>
          <w:numId w:val="7"/>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根据麦肯锡预测，氢能交通领域投资回报率中位数为‌</w:t>
      </w:r>
      <w:r>
        <w:rPr>
          <w:rStyle w:val="10"/>
          <w:rFonts w:hint="default" w:ascii="Arial" w:hAnsi="Arial" w:eastAsia="Arial" w:cs="Arial"/>
          <w:i w:val="0"/>
          <w:iCs w:val="0"/>
          <w:caps w:val="0"/>
          <w:color w:val="333333"/>
          <w:spacing w:val="0"/>
          <w:sz w:val="24"/>
          <w:szCs w:val="24"/>
          <w:bdr w:val="none" w:color="auto" w:sz="0" w:space="0"/>
          <w:shd w:val="clear" w:fill="FFFFFF"/>
        </w:rPr>
        <w:t>22%</w:t>
      </w:r>
      <w:r>
        <w:rPr>
          <w:rFonts w:hint="default" w:ascii="Arial" w:hAnsi="Arial" w:eastAsia="Arial" w:cs="Arial"/>
          <w:i w:val="0"/>
          <w:iCs w:val="0"/>
          <w:caps w:val="0"/>
          <w:color w:val="333333"/>
          <w:spacing w:val="0"/>
          <w:sz w:val="24"/>
          <w:szCs w:val="24"/>
          <w:shd w:val="clear" w:fill="FFFFFF"/>
        </w:rPr>
        <w:t>‌，而SCSR-H2-神谕通过技术溢价与基础设施协同，可提升至‌</w:t>
      </w:r>
      <w:r>
        <w:rPr>
          <w:rStyle w:val="10"/>
          <w:rFonts w:hint="default" w:ascii="Arial" w:hAnsi="Arial" w:eastAsia="Arial" w:cs="Arial"/>
          <w:i w:val="0"/>
          <w:iCs w:val="0"/>
          <w:caps w:val="0"/>
          <w:color w:val="333333"/>
          <w:spacing w:val="0"/>
          <w:sz w:val="24"/>
          <w:szCs w:val="24"/>
          <w:bdr w:val="none" w:color="auto" w:sz="0" w:space="0"/>
          <w:shd w:val="clear" w:fill="FFFFFF"/>
        </w:rPr>
        <w:t>25%-35%</w:t>
      </w:r>
      <w:r>
        <w:rPr>
          <w:rFonts w:hint="default" w:ascii="Arial" w:hAnsi="Arial" w:eastAsia="Arial" w:cs="Arial"/>
          <w:i w:val="0"/>
          <w:iCs w:val="0"/>
          <w:caps w:val="0"/>
          <w:color w:val="333333"/>
          <w:spacing w:val="0"/>
          <w:sz w:val="24"/>
          <w:szCs w:val="24"/>
          <w:shd w:val="clear" w:fill="FFFFFF"/>
        </w:rPr>
        <w:t>‌。</w:t>
      </w:r>
    </w:p>
    <w:p w14:paraId="21AFDB2D">
      <w:pPr>
        <w:keepNext w:val="0"/>
        <w:keepLines w:val="0"/>
        <w:pageBreakBefore w:val="0"/>
        <w:widowControl/>
        <w:numPr>
          <w:ilvl w:val="0"/>
          <w:numId w:val="7"/>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以单架飞行器年运营300天、日均4次起降计算，年加氢服务收入达‌</w:t>
      </w:r>
      <w:r>
        <w:rPr>
          <w:rStyle w:val="10"/>
          <w:rFonts w:hint="default" w:ascii="Arial" w:hAnsi="Arial" w:eastAsia="Arial" w:cs="Arial"/>
          <w:i w:val="0"/>
          <w:iCs w:val="0"/>
          <w:caps w:val="0"/>
          <w:color w:val="333333"/>
          <w:spacing w:val="0"/>
          <w:sz w:val="24"/>
          <w:szCs w:val="24"/>
          <w:bdr w:val="none" w:color="auto" w:sz="0" w:space="0"/>
          <w:shd w:val="clear" w:fill="FFFFFF"/>
        </w:rPr>
        <w:t>48万-72万美元</w:t>
      </w:r>
      <w:r>
        <w:rPr>
          <w:rFonts w:hint="default" w:ascii="Arial" w:hAnsi="Arial" w:eastAsia="Arial" w:cs="Arial"/>
          <w:i w:val="0"/>
          <w:iCs w:val="0"/>
          <w:caps w:val="0"/>
          <w:color w:val="333333"/>
          <w:spacing w:val="0"/>
          <w:sz w:val="24"/>
          <w:szCs w:val="24"/>
          <w:shd w:val="clear" w:fill="FFFFFF"/>
        </w:rPr>
        <w:t>‌，占单架总收入的‌</w:t>
      </w:r>
      <w:r>
        <w:rPr>
          <w:rStyle w:val="10"/>
          <w:rFonts w:hint="default" w:ascii="Arial" w:hAnsi="Arial" w:eastAsia="Arial" w:cs="Arial"/>
          <w:i w:val="0"/>
          <w:iCs w:val="0"/>
          <w:caps w:val="0"/>
          <w:color w:val="333333"/>
          <w:spacing w:val="0"/>
          <w:sz w:val="24"/>
          <w:szCs w:val="24"/>
          <w:bdr w:val="none" w:color="auto" w:sz="0" w:space="0"/>
          <w:shd w:val="clear" w:fill="FFFFFF"/>
        </w:rPr>
        <w:t>60%-70%</w:t>
      </w:r>
      <w:r>
        <w:rPr>
          <w:rFonts w:hint="default" w:ascii="Arial" w:hAnsi="Arial" w:eastAsia="Arial" w:cs="Arial"/>
          <w:i w:val="0"/>
          <w:iCs w:val="0"/>
          <w:caps w:val="0"/>
          <w:color w:val="333333"/>
          <w:spacing w:val="0"/>
          <w:sz w:val="24"/>
          <w:szCs w:val="24"/>
          <w:shd w:val="clear" w:fill="FFFFFF"/>
        </w:rPr>
        <w:t>‌。</w:t>
      </w:r>
    </w:p>
    <w:p w14:paraId="417364B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right="0" w:firstLine="723" w:firstLineChars="200"/>
        <w:jc w:val="left"/>
        <w:textAlignment w:val="auto"/>
        <w:rPr>
          <w:rFonts w:hint="default" w:ascii="宋体" w:hAnsi="宋体" w:eastAsia="宋体" w:cs="宋体"/>
          <w:b/>
          <w:bCs/>
          <w:kern w:val="0"/>
          <w:sz w:val="36"/>
          <w:szCs w:val="36"/>
          <w:lang w:val="en-US" w:eastAsia="zh-CN" w:bidi="ar"/>
        </w:rPr>
      </w:pPr>
      <w:r>
        <w:rPr>
          <w:rFonts w:hint="default" w:ascii="宋体" w:hAnsi="宋体" w:eastAsia="宋体" w:cs="宋体"/>
          <w:b/>
          <w:bCs/>
          <w:kern w:val="0"/>
          <w:sz w:val="36"/>
          <w:szCs w:val="36"/>
          <w:lang w:val="en-US" w:eastAsia="zh-CN" w:bidi="ar"/>
        </w:rPr>
        <w:t>六、可落地的商业计划</w:t>
      </w:r>
    </w:p>
    <w:p w14:paraId="2301F76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（一）三阶段实施路径</w:t>
      </w:r>
    </w:p>
    <w:p w14:paraId="727DDDE5">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2025-2026：技术验证与试点运营</w:t>
      </w:r>
      <w:r>
        <w:rPr>
          <w:rFonts w:hint="default" w:ascii="Arial" w:hAnsi="Arial" w:eastAsia="Arial" w:cs="Arial"/>
          <w:i w:val="0"/>
          <w:iCs w:val="0"/>
          <w:caps w:val="0"/>
          <w:color w:val="333333"/>
          <w:spacing w:val="0"/>
          <w:sz w:val="24"/>
          <w:szCs w:val="24"/>
          <w:bdr w:val="none" w:color="auto" w:sz="0" w:space="0"/>
          <w:shd w:val="clear" w:fill="FFFFFF"/>
        </w:rPr>
        <w:t>‌</w:t>
      </w:r>
    </w:p>
    <w:p w14:paraId="29197D84">
      <w:pPr>
        <w:keepNext w:val="0"/>
        <w:keepLines w:val="0"/>
        <w:pageBreakBefore w:val="0"/>
        <w:widowControl/>
        <w:numPr>
          <w:ilvl w:val="1"/>
          <w:numId w:val="8"/>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目标</w:t>
      </w:r>
      <w:r>
        <w:rPr>
          <w:rFonts w:hint="default" w:ascii="Arial" w:hAnsi="Arial" w:eastAsia="Arial" w:cs="Arial"/>
          <w:i w:val="0"/>
          <w:iCs w:val="0"/>
          <w:caps w:val="0"/>
          <w:color w:val="333333"/>
          <w:spacing w:val="0"/>
          <w:sz w:val="24"/>
          <w:szCs w:val="24"/>
          <w:shd w:val="clear" w:fill="FFFFFF"/>
        </w:rPr>
        <w:t>‌：完成10架原型机测试，建立2个示范加氢中心。</w:t>
      </w:r>
    </w:p>
    <w:p w14:paraId="31466E40">
      <w:pPr>
        <w:keepNext w:val="0"/>
        <w:keepLines w:val="0"/>
        <w:pageBreakBefore w:val="0"/>
        <w:widowControl/>
        <w:numPr>
          <w:ilvl w:val="1"/>
          <w:numId w:val="8"/>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合作方</w:t>
      </w:r>
      <w:r>
        <w:rPr>
          <w:rFonts w:hint="default" w:ascii="Arial" w:hAnsi="Arial" w:eastAsia="Arial" w:cs="Arial"/>
          <w:i w:val="0"/>
          <w:iCs w:val="0"/>
          <w:caps w:val="0"/>
          <w:color w:val="333333"/>
          <w:spacing w:val="0"/>
          <w:sz w:val="24"/>
          <w:szCs w:val="24"/>
          <w:shd w:val="clear" w:fill="FFFFFF"/>
        </w:rPr>
        <w:t>‌：与迪拜、新加坡政府合作，利用其“智慧城市”政策补贴（覆盖‌</w:t>
      </w:r>
      <w:r>
        <w:rPr>
          <w:rStyle w:val="10"/>
          <w:rFonts w:hint="default" w:ascii="Arial" w:hAnsi="Arial" w:eastAsia="Arial" w:cs="Arial"/>
          <w:i w:val="0"/>
          <w:iCs w:val="0"/>
          <w:caps w:val="0"/>
          <w:color w:val="333333"/>
          <w:spacing w:val="0"/>
          <w:sz w:val="24"/>
          <w:szCs w:val="24"/>
          <w:bdr w:val="none" w:color="auto" w:sz="0" w:space="0"/>
          <w:shd w:val="clear" w:fill="FFFFFF"/>
        </w:rPr>
        <w:t>30%-50%</w:t>
      </w:r>
      <w:r>
        <w:rPr>
          <w:rFonts w:hint="default" w:ascii="Arial" w:hAnsi="Arial" w:eastAsia="Arial" w:cs="Arial"/>
          <w:i w:val="0"/>
          <w:iCs w:val="0"/>
          <w:caps w:val="0"/>
          <w:color w:val="333333"/>
          <w:spacing w:val="0"/>
          <w:sz w:val="24"/>
          <w:szCs w:val="24"/>
          <w:shd w:val="clear" w:fill="FFFFFF"/>
        </w:rPr>
        <w:t>‌基建成本）。</w:t>
      </w:r>
    </w:p>
    <w:p w14:paraId="71280717">
      <w:pPr>
        <w:keepNext w:val="0"/>
        <w:keepLines w:val="0"/>
        <w:pageBreakBefore w:val="0"/>
        <w:widowControl/>
        <w:numPr>
          <w:ilvl w:val="1"/>
          <w:numId w:val="8"/>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数据指标</w:t>
      </w:r>
      <w:r>
        <w:rPr>
          <w:rFonts w:hint="default" w:ascii="Arial" w:hAnsi="Arial" w:eastAsia="Arial" w:cs="Arial"/>
          <w:i w:val="0"/>
          <w:iCs w:val="0"/>
          <w:caps w:val="0"/>
          <w:color w:val="333333"/>
          <w:spacing w:val="0"/>
          <w:sz w:val="24"/>
          <w:szCs w:val="24"/>
          <w:shd w:val="clear" w:fill="FFFFFF"/>
        </w:rPr>
        <w:t>‌：验证燃料电池寿命达‌</w:t>
      </w:r>
      <w:r>
        <w:rPr>
          <w:rStyle w:val="10"/>
          <w:rFonts w:hint="default" w:ascii="Arial" w:hAnsi="Arial" w:eastAsia="Arial" w:cs="Arial"/>
          <w:i w:val="0"/>
          <w:iCs w:val="0"/>
          <w:caps w:val="0"/>
          <w:color w:val="333333"/>
          <w:spacing w:val="0"/>
          <w:sz w:val="24"/>
          <w:szCs w:val="24"/>
          <w:bdr w:val="none" w:color="auto" w:sz="0" w:space="0"/>
          <w:shd w:val="clear" w:fill="FFFFFF"/>
        </w:rPr>
        <w:t>15,000小时</w:t>
      </w:r>
      <w:r>
        <w:rPr>
          <w:rFonts w:hint="default" w:ascii="Arial" w:hAnsi="Arial" w:eastAsia="Arial" w:cs="Arial"/>
          <w:i w:val="0"/>
          <w:iCs w:val="0"/>
          <w:caps w:val="0"/>
          <w:color w:val="333333"/>
          <w:spacing w:val="0"/>
          <w:sz w:val="24"/>
          <w:szCs w:val="24"/>
          <w:shd w:val="clear" w:fill="FFFFFF"/>
        </w:rPr>
        <w:t>‌（当前行业平均为10,000小时），垂直起降能耗降至‌</w:t>
      </w:r>
      <w:r>
        <w:rPr>
          <w:rStyle w:val="10"/>
          <w:rFonts w:hint="default" w:ascii="Arial" w:hAnsi="Arial" w:eastAsia="Arial" w:cs="Arial"/>
          <w:i w:val="0"/>
          <w:iCs w:val="0"/>
          <w:caps w:val="0"/>
          <w:color w:val="333333"/>
          <w:spacing w:val="0"/>
          <w:sz w:val="24"/>
          <w:szCs w:val="24"/>
          <w:bdr w:val="none" w:color="auto" w:sz="0" w:space="0"/>
          <w:shd w:val="clear" w:fill="FFFFFF"/>
        </w:rPr>
        <w:t>1.2kWh/km</w:t>
      </w:r>
      <w:r>
        <w:rPr>
          <w:rFonts w:hint="default" w:ascii="Arial" w:hAnsi="Arial" w:eastAsia="Arial" w:cs="Arial"/>
          <w:i w:val="0"/>
          <w:iCs w:val="0"/>
          <w:caps w:val="0"/>
          <w:color w:val="333333"/>
          <w:spacing w:val="0"/>
          <w:sz w:val="24"/>
          <w:szCs w:val="24"/>
          <w:shd w:val="clear" w:fill="FFFFFF"/>
        </w:rPr>
        <w:t>‌（比纯电方案低40%）。</w:t>
      </w:r>
    </w:p>
    <w:p w14:paraId="68D5A31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2027-2029：规模化生产与网络铺设</w:t>
      </w:r>
      <w:r>
        <w:rPr>
          <w:rFonts w:hint="default" w:ascii="Arial" w:hAnsi="Arial" w:eastAsia="Arial" w:cs="Arial"/>
          <w:i w:val="0"/>
          <w:iCs w:val="0"/>
          <w:caps w:val="0"/>
          <w:color w:val="333333"/>
          <w:spacing w:val="0"/>
          <w:sz w:val="24"/>
          <w:szCs w:val="24"/>
          <w:bdr w:val="none" w:color="auto" w:sz="0" w:space="0"/>
          <w:shd w:val="clear" w:fill="FFFFFF"/>
        </w:rPr>
        <w:t>‌</w:t>
      </w:r>
    </w:p>
    <w:p w14:paraId="476A871C">
      <w:pPr>
        <w:keepNext w:val="0"/>
        <w:keepLines w:val="0"/>
        <w:pageBreakBefore w:val="0"/>
        <w:widowControl/>
        <w:numPr>
          <w:ilvl w:val="1"/>
          <w:numId w:val="9"/>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产能建设</w:t>
      </w:r>
      <w:r>
        <w:rPr>
          <w:rFonts w:hint="default" w:ascii="Arial" w:hAnsi="Arial" w:eastAsia="Arial" w:cs="Arial"/>
          <w:i w:val="0"/>
          <w:iCs w:val="0"/>
          <w:caps w:val="0"/>
          <w:color w:val="333333"/>
          <w:spacing w:val="0"/>
          <w:sz w:val="24"/>
          <w:szCs w:val="24"/>
          <w:shd w:val="clear" w:fill="FFFFFF"/>
        </w:rPr>
        <w:t>‌：投资‌</w:t>
      </w:r>
      <w:r>
        <w:rPr>
          <w:rStyle w:val="10"/>
          <w:rFonts w:hint="default" w:ascii="Arial" w:hAnsi="Arial" w:eastAsia="Arial" w:cs="Arial"/>
          <w:i w:val="0"/>
          <w:iCs w:val="0"/>
          <w:caps w:val="0"/>
          <w:color w:val="333333"/>
          <w:spacing w:val="0"/>
          <w:sz w:val="24"/>
          <w:szCs w:val="24"/>
          <w:bdr w:val="none" w:color="auto" w:sz="0" w:space="0"/>
          <w:shd w:val="clear" w:fill="FFFFFF"/>
        </w:rPr>
        <w:t>4亿美元</w:t>
      </w:r>
      <w:r>
        <w:rPr>
          <w:rFonts w:hint="default" w:ascii="Arial" w:hAnsi="Arial" w:eastAsia="Arial" w:cs="Arial"/>
          <w:i w:val="0"/>
          <w:iCs w:val="0"/>
          <w:caps w:val="0"/>
          <w:color w:val="333333"/>
          <w:spacing w:val="0"/>
          <w:sz w:val="24"/>
          <w:szCs w:val="24"/>
          <w:shd w:val="clear" w:fill="FFFFFF"/>
        </w:rPr>
        <w:t>‌建造年产量1,000架的生产基地，采用模块化装配工艺，将生产周期压缩至‌</w:t>
      </w:r>
      <w:r>
        <w:rPr>
          <w:rStyle w:val="10"/>
          <w:rFonts w:hint="default" w:ascii="Arial" w:hAnsi="Arial" w:eastAsia="Arial" w:cs="Arial"/>
          <w:i w:val="0"/>
          <w:iCs w:val="0"/>
          <w:caps w:val="0"/>
          <w:color w:val="333333"/>
          <w:spacing w:val="0"/>
          <w:sz w:val="24"/>
          <w:szCs w:val="24"/>
          <w:bdr w:val="none" w:color="auto" w:sz="0" w:space="0"/>
          <w:shd w:val="clear" w:fill="FFFFFF"/>
        </w:rPr>
        <w:t>45天/架</w:t>
      </w:r>
      <w:r>
        <w:rPr>
          <w:rFonts w:hint="default" w:ascii="Arial" w:hAnsi="Arial" w:eastAsia="Arial" w:cs="Arial"/>
          <w:i w:val="0"/>
          <w:iCs w:val="0"/>
          <w:caps w:val="0"/>
          <w:color w:val="333333"/>
          <w:spacing w:val="0"/>
          <w:sz w:val="24"/>
          <w:szCs w:val="24"/>
          <w:shd w:val="clear" w:fill="FFFFFF"/>
        </w:rPr>
        <w:t>‌。</w:t>
      </w:r>
    </w:p>
    <w:p w14:paraId="05660234">
      <w:pPr>
        <w:keepNext w:val="0"/>
        <w:keepLines w:val="0"/>
        <w:pageBreakBefore w:val="0"/>
        <w:widowControl/>
        <w:numPr>
          <w:ilvl w:val="1"/>
          <w:numId w:val="9"/>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加氢网络</w:t>
      </w:r>
      <w:r>
        <w:rPr>
          <w:rFonts w:hint="default" w:ascii="Arial" w:hAnsi="Arial" w:eastAsia="Arial" w:cs="Arial"/>
          <w:i w:val="0"/>
          <w:iCs w:val="0"/>
          <w:caps w:val="0"/>
          <w:color w:val="333333"/>
          <w:spacing w:val="0"/>
          <w:sz w:val="24"/>
          <w:szCs w:val="24"/>
          <w:shd w:val="clear" w:fill="FFFFFF"/>
        </w:rPr>
        <w:t>‌：在全球30个核心城市部署200个加氢中心，优先覆盖东京、上海、洛杉矶等空中交通枢纽。</w:t>
      </w:r>
    </w:p>
    <w:p w14:paraId="502F3B86">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2030-2035：生态闭环与衍生服务</w:t>
      </w:r>
      <w:r>
        <w:rPr>
          <w:rFonts w:hint="default" w:ascii="Arial" w:hAnsi="Arial" w:eastAsia="Arial" w:cs="Arial"/>
          <w:i w:val="0"/>
          <w:iCs w:val="0"/>
          <w:caps w:val="0"/>
          <w:color w:val="333333"/>
          <w:spacing w:val="0"/>
          <w:sz w:val="24"/>
          <w:szCs w:val="24"/>
          <w:bdr w:val="none" w:color="auto" w:sz="0" w:space="0"/>
          <w:shd w:val="clear" w:fill="FFFFFF"/>
        </w:rPr>
        <w:t>‌</w:t>
      </w:r>
    </w:p>
    <w:p w14:paraId="20996574">
      <w:pPr>
        <w:keepNext w:val="0"/>
        <w:keepLines w:val="0"/>
        <w:pageBreakBefore w:val="0"/>
        <w:widowControl/>
        <w:numPr>
          <w:ilvl w:val="1"/>
          <w:numId w:val="10"/>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氢能供应链</w:t>
      </w:r>
      <w:r>
        <w:rPr>
          <w:rFonts w:hint="default" w:ascii="Arial" w:hAnsi="Arial" w:eastAsia="Arial" w:cs="Arial"/>
          <w:i w:val="0"/>
          <w:iCs w:val="0"/>
          <w:caps w:val="0"/>
          <w:color w:val="333333"/>
          <w:spacing w:val="0"/>
          <w:sz w:val="24"/>
          <w:szCs w:val="24"/>
          <w:shd w:val="clear" w:fill="FFFFFF"/>
        </w:rPr>
        <w:t>‌：与壳牌、中石化合作建设“绿氢”生产基地，将制氢成本降至‌</w:t>
      </w:r>
      <w:r>
        <w:rPr>
          <w:rStyle w:val="10"/>
          <w:rFonts w:hint="default" w:ascii="Arial" w:hAnsi="Arial" w:eastAsia="Arial" w:cs="Arial"/>
          <w:i w:val="0"/>
          <w:iCs w:val="0"/>
          <w:caps w:val="0"/>
          <w:color w:val="333333"/>
          <w:spacing w:val="0"/>
          <w:sz w:val="24"/>
          <w:szCs w:val="24"/>
          <w:bdr w:val="none" w:color="auto" w:sz="0" w:space="0"/>
          <w:shd w:val="clear" w:fill="FFFFFF"/>
        </w:rPr>
        <w:t>2.5美元/kg</w:t>
      </w:r>
      <w:r>
        <w:rPr>
          <w:rFonts w:hint="default" w:ascii="Arial" w:hAnsi="Arial" w:eastAsia="Arial" w:cs="Arial"/>
          <w:i w:val="0"/>
          <w:iCs w:val="0"/>
          <w:caps w:val="0"/>
          <w:color w:val="333333"/>
          <w:spacing w:val="0"/>
          <w:sz w:val="24"/>
          <w:szCs w:val="24"/>
          <w:shd w:val="clear" w:fill="FFFFFF"/>
        </w:rPr>
        <w:t>‌以下。</w:t>
      </w:r>
    </w:p>
    <w:p w14:paraId="45110F1B">
      <w:pPr>
        <w:keepNext w:val="0"/>
        <w:keepLines w:val="0"/>
        <w:pageBreakBefore w:val="0"/>
        <w:widowControl/>
        <w:numPr>
          <w:ilvl w:val="1"/>
          <w:numId w:val="10"/>
        </w:numPr>
        <w:suppressLineNumbers w:val="0"/>
        <w:pBdr>
          <w:top w:val="none" w:color="auto" w:sz="0" w:space="0"/>
          <w:bottom w:val="none" w:color="auto" w:sz="0" w:space="0"/>
          <w:right w:val="none" w:color="auto" w:sz="0" w:space="0"/>
        </w:pBdr>
        <w:tabs>
          <w:tab w:val="left" w:pos="1440"/>
        </w:tabs>
        <w:kinsoku/>
        <w:wordWrap/>
        <w:overflowPunct/>
        <w:topLinePunct w:val="0"/>
        <w:autoSpaceDE/>
        <w:autoSpaceDN/>
        <w:bidi w:val="0"/>
        <w:adjustRightInd/>
        <w:snapToGrid/>
        <w:spacing w:before="60" w:beforeAutospacing="0" w:after="60" w:afterAutospacing="0" w:line="360" w:lineRule="auto"/>
        <w:ind w:left="72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数据增值</w:t>
      </w:r>
      <w:r>
        <w:rPr>
          <w:rFonts w:hint="default" w:ascii="Arial" w:hAnsi="Arial" w:eastAsia="Arial" w:cs="Arial"/>
          <w:i w:val="0"/>
          <w:iCs w:val="0"/>
          <w:caps w:val="0"/>
          <w:color w:val="333333"/>
          <w:spacing w:val="0"/>
          <w:sz w:val="24"/>
          <w:szCs w:val="24"/>
          <w:shd w:val="clear" w:fill="FFFFFF"/>
        </w:rPr>
        <w:t>‌：通过飞行器运营数据开发AI调度系统，向第三方收取‌</w:t>
      </w:r>
      <w:r>
        <w:rPr>
          <w:rStyle w:val="10"/>
          <w:rFonts w:hint="default" w:ascii="Arial" w:hAnsi="Arial" w:eastAsia="Arial" w:cs="Arial"/>
          <w:i w:val="0"/>
          <w:iCs w:val="0"/>
          <w:caps w:val="0"/>
          <w:color w:val="333333"/>
          <w:spacing w:val="0"/>
          <w:sz w:val="24"/>
          <w:szCs w:val="24"/>
          <w:bdr w:val="none" w:color="auto" w:sz="0" w:space="0"/>
          <w:shd w:val="clear" w:fill="FFFFFF"/>
        </w:rPr>
        <w:t>0.5-1美元/次</w:t>
      </w:r>
      <w:r>
        <w:rPr>
          <w:rFonts w:hint="default" w:ascii="Arial" w:hAnsi="Arial" w:eastAsia="Arial" w:cs="Arial"/>
          <w:i w:val="0"/>
          <w:iCs w:val="0"/>
          <w:caps w:val="0"/>
          <w:color w:val="333333"/>
          <w:spacing w:val="0"/>
          <w:sz w:val="24"/>
          <w:szCs w:val="24"/>
          <w:shd w:val="clear" w:fill="FFFFFF"/>
        </w:rPr>
        <w:t>‌的数据服务费。</w:t>
      </w:r>
    </w:p>
    <w:p w14:paraId="2EE3B47F">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（二）风险控制与应对</w:t>
      </w:r>
    </w:p>
    <w:p w14:paraId="46B27AE9">
      <w:pPr>
        <w:keepNext w:val="0"/>
        <w:keepLines w:val="0"/>
        <w:pageBreakBefore w:val="0"/>
        <w:widowControl/>
        <w:numPr>
          <w:ilvl w:val="0"/>
          <w:numId w:val="11"/>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技术风险</w:t>
      </w:r>
      <w:r>
        <w:rPr>
          <w:rFonts w:hint="default" w:ascii="Arial" w:hAnsi="Arial" w:eastAsia="Arial" w:cs="Arial"/>
          <w:i w:val="0"/>
          <w:iCs w:val="0"/>
          <w:caps w:val="0"/>
          <w:color w:val="333333"/>
          <w:spacing w:val="0"/>
          <w:sz w:val="24"/>
          <w:szCs w:val="24"/>
          <w:shd w:val="clear" w:fill="FFFFFF"/>
        </w:rPr>
        <w:t>‌：保留‌</w:t>
      </w:r>
      <w:r>
        <w:rPr>
          <w:rStyle w:val="10"/>
          <w:rFonts w:hint="default" w:ascii="Arial" w:hAnsi="Arial" w:eastAsia="Arial" w:cs="Arial"/>
          <w:i w:val="0"/>
          <w:iCs w:val="0"/>
          <w:caps w:val="0"/>
          <w:color w:val="333333"/>
          <w:spacing w:val="0"/>
          <w:sz w:val="24"/>
          <w:szCs w:val="24"/>
          <w:bdr w:val="none" w:color="auto" w:sz="0" w:space="0"/>
          <w:shd w:val="clear" w:fill="FFFFFF"/>
        </w:rPr>
        <w:t>10%</w:t>
      </w:r>
      <w:r>
        <w:rPr>
          <w:rFonts w:hint="default" w:ascii="Arial" w:hAnsi="Arial" w:eastAsia="Arial" w:cs="Arial"/>
          <w:i w:val="0"/>
          <w:iCs w:val="0"/>
          <w:caps w:val="0"/>
          <w:color w:val="333333"/>
          <w:spacing w:val="0"/>
          <w:sz w:val="24"/>
          <w:szCs w:val="24"/>
          <w:shd w:val="clear" w:fill="FFFFFF"/>
        </w:rPr>
        <w:t>‌研发预算用于固态储氢技术备份，可将能量密度再提升‌</w:t>
      </w:r>
      <w:r>
        <w:rPr>
          <w:rStyle w:val="10"/>
          <w:rFonts w:hint="default" w:ascii="Arial" w:hAnsi="Arial" w:eastAsia="Arial" w:cs="Arial"/>
          <w:i w:val="0"/>
          <w:iCs w:val="0"/>
          <w:caps w:val="0"/>
          <w:color w:val="333333"/>
          <w:spacing w:val="0"/>
          <w:sz w:val="24"/>
          <w:szCs w:val="24"/>
          <w:bdr w:val="none" w:color="auto" w:sz="0" w:space="0"/>
          <w:shd w:val="clear" w:fill="FFFFFF"/>
        </w:rPr>
        <w:t>50%</w:t>
      </w:r>
      <w:r>
        <w:rPr>
          <w:rFonts w:hint="default" w:ascii="Arial" w:hAnsi="Arial" w:eastAsia="Arial" w:cs="Arial"/>
          <w:i w:val="0"/>
          <w:iCs w:val="0"/>
          <w:caps w:val="0"/>
          <w:color w:val="333333"/>
          <w:spacing w:val="0"/>
          <w:sz w:val="24"/>
          <w:szCs w:val="24"/>
          <w:shd w:val="clear" w:fill="FFFFFF"/>
        </w:rPr>
        <w:t>‌（达6kWh/kg）。</w:t>
      </w:r>
    </w:p>
    <w:p w14:paraId="6E57D486">
      <w:pPr>
        <w:keepNext w:val="0"/>
        <w:keepLines w:val="0"/>
        <w:pageBreakBefore w:val="0"/>
        <w:widowControl/>
        <w:numPr>
          <w:ilvl w:val="0"/>
          <w:numId w:val="11"/>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政策风险</w:t>
      </w:r>
      <w:r>
        <w:rPr>
          <w:rFonts w:hint="default" w:ascii="Arial" w:hAnsi="Arial" w:eastAsia="Arial" w:cs="Arial"/>
          <w:i w:val="0"/>
          <w:iCs w:val="0"/>
          <w:caps w:val="0"/>
          <w:color w:val="333333"/>
          <w:spacing w:val="0"/>
          <w:sz w:val="24"/>
          <w:szCs w:val="24"/>
          <w:shd w:val="clear" w:fill="FFFFFF"/>
        </w:rPr>
        <w:t>‌：联合空客、波音推动各国出台《城市空中交通氢能补贴法案》，确保每公斤氢气补贴‌</w:t>
      </w:r>
      <w:r>
        <w:rPr>
          <w:rStyle w:val="10"/>
          <w:rFonts w:hint="default" w:ascii="Arial" w:hAnsi="Arial" w:eastAsia="Arial" w:cs="Arial"/>
          <w:i w:val="0"/>
          <w:iCs w:val="0"/>
          <w:caps w:val="0"/>
          <w:color w:val="333333"/>
          <w:spacing w:val="0"/>
          <w:sz w:val="24"/>
          <w:szCs w:val="24"/>
          <w:bdr w:val="none" w:color="auto" w:sz="0" w:space="0"/>
          <w:shd w:val="clear" w:fill="FFFFFF"/>
        </w:rPr>
        <w:t>1-2美元</w:t>
      </w:r>
      <w:r>
        <w:rPr>
          <w:rFonts w:hint="default" w:ascii="Arial" w:hAnsi="Arial" w:eastAsia="Arial" w:cs="Arial"/>
          <w:i w:val="0"/>
          <w:iCs w:val="0"/>
          <w:caps w:val="0"/>
          <w:color w:val="333333"/>
          <w:spacing w:val="0"/>
          <w:sz w:val="24"/>
          <w:szCs w:val="24"/>
          <w:shd w:val="clear" w:fill="FFFFFF"/>
        </w:rPr>
        <w:t>‌。</w:t>
      </w:r>
    </w:p>
    <w:p w14:paraId="70F341FE">
      <w:pPr>
        <w:keepNext w:val="0"/>
        <w:keepLines w:val="0"/>
        <w:pageBreakBefore w:val="0"/>
        <w:widowControl/>
        <w:numPr>
          <w:ilvl w:val="0"/>
          <w:numId w:val="11"/>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市场风险</w:t>
      </w:r>
      <w:r>
        <w:rPr>
          <w:rFonts w:hint="default" w:ascii="Arial" w:hAnsi="Arial" w:eastAsia="Arial" w:cs="Arial"/>
          <w:i w:val="0"/>
          <w:iCs w:val="0"/>
          <w:caps w:val="0"/>
          <w:color w:val="333333"/>
          <w:spacing w:val="0"/>
          <w:sz w:val="24"/>
          <w:szCs w:val="24"/>
          <w:shd w:val="clear" w:fill="FFFFFF"/>
        </w:rPr>
        <w:t>‌：采用“按需付费”（Pay-as-you-Fly）模式，降低客户初始投资门槛，首年租金可抵扣‌</w:t>
      </w:r>
      <w:r>
        <w:rPr>
          <w:rStyle w:val="10"/>
          <w:rFonts w:hint="default" w:ascii="Arial" w:hAnsi="Arial" w:eastAsia="Arial" w:cs="Arial"/>
          <w:i w:val="0"/>
          <w:iCs w:val="0"/>
          <w:caps w:val="0"/>
          <w:color w:val="333333"/>
          <w:spacing w:val="0"/>
          <w:sz w:val="24"/>
          <w:szCs w:val="24"/>
          <w:bdr w:val="none" w:color="auto" w:sz="0" w:space="0"/>
          <w:shd w:val="clear" w:fill="FFFFFF"/>
        </w:rPr>
        <w:t>20%</w:t>
      </w:r>
      <w:r>
        <w:rPr>
          <w:rFonts w:hint="default" w:ascii="Arial" w:hAnsi="Arial" w:eastAsia="Arial" w:cs="Arial"/>
          <w:i w:val="0"/>
          <w:iCs w:val="0"/>
          <w:caps w:val="0"/>
          <w:color w:val="333333"/>
          <w:spacing w:val="0"/>
          <w:sz w:val="24"/>
          <w:szCs w:val="24"/>
          <w:shd w:val="clear" w:fill="FFFFFF"/>
        </w:rPr>
        <w:t>‌购机款。</w:t>
      </w:r>
    </w:p>
    <w:p w14:paraId="6E4F7B58">
      <w:pPr>
        <w:keepNext w:val="0"/>
        <w:keepLines w:val="0"/>
        <w:pageBreakBefore w:val="0"/>
        <w:widowControl/>
        <w:numPr>
          <w:ilvl w:val="0"/>
          <w:numId w:val="11"/>
        </w:numPr>
        <w:suppressLineNumbers w:val="0"/>
        <w:pBdr>
          <w:top w:val="none" w:color="auto" w:sz="0" w:space="0"/>
          <w:bottom w:val="none" w:color="auto" w:sz="0" w:space="0"/>
          <w:right w:val="none" w:color="auto" w:sz="0" w:space="0"/>
        </w:pBdr>
        <w:kinsoku/>
        <w:wordWrap/>
        <w:overflowPunct/>
        <w:topLinePunct w:val="0"/>
        <w:autoSpaceDE/>
        <w:autoSpaceDN/>
        <w:bidi w:val="0"/>
        <w:adjustRightInd/>
        <w:snapToGrid/>
        <w:spacing w:before="60" w:beforeAutospacing="0" w:after="60"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rPr>
        <w:drawing>
          <wp:inline distT="0" distB="0" distL="114300" distR="114300">
            <wp:extent cx="5266690" cy="2633345"/>
            <wp:effectExtent l="0" t="0" r="10160" b="14605"/>
            <wp:docPr id="11" name="图片 11" descr="SCSR-H2-神谕-黄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SR-H2-神谕-黄色"/>
                    <pic:cNvPicPr>
                      <a:picLocks noChangeAspect="1"/>
                    </pic:cNvPicPr>
                  </pic:nvPicPr>
                  <pic:blipFill>
                    <a:blip r:embed="rId7"/>
                    <a:stretch>
                      <a:fillRect/>
                    </a:stretch>
                  </pic:blipFill>
                  <pic:spPr>
                    <a:xfrm>
                      <a:off x="0" y="0"/>
                      <a:ext cx="5266690" cy="2633345"/>
                    </a:xfrm>
                    <a:prstGeom prst="rect">
                      <a:avLst/>
                    </a:prstGeom>
                  </pic:spPr>
                </pic:pic>
              </a:graphicData>
            </a:graphic>
          </wp:inline>
        </w:drawing>
      </w:r>
    </w:p>
    <w:p w14:paraId="31D38D92">
      <w:pPr>
        <w:keepNext w:val="0"/>
        <w:keepLines w:val="0"/>
        <w:pageBreakBefore w:val="0"/>
        <w:widowControl/>
        <w:numPr>
          <w:numId w:val="0"/>
        </w:numPr>
        <w:suppressLineNumbers w:val="0"/>
        <w:pBdr>
          <w:top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60" w:beforeAutospacing="0" w:after="60" w:afterAutospacing="0" w:line="360" w:lineRule="auto"/>
        <w:ind w:right="0" w:rightChars="0"/>
        <w:jc w:val="left"/>
        <w:textAlignment w:val="auto"/>
        <w:rPr>
          <w:rFonts w:hint="default" w:ascii="Arial" w:hAnsi="Arial" w:eastAsia="Arial" w:cs="Arial"/>
          <w:i w:val="0"/>
          <w:iCs w:val="0"/>
          <w:caps w:val="0"/>
          <w:color w:val="333333"/>
          <w:spacing w:val="0"/>
          <w:sz w:val="24"/>
          <w:szCs w:val="24"/>
        </w:rPr>
      </w:pPr>
    </w:p>
    <w:p w14:paraId="55003BB0">
      <w:pPr>
        <w:keepNext w:val="0"/>
        <w:keepLines w:val="0"/>
        <w:pageBreakBefore w:val="0"/>
        <w:widowControl/>
        <w:numPr>
          <w:numId w:val="0"/>
        </w:numPr>
        <w:suppressLineNumbers w:val="0"/>
        <w:pBdr>
          <w:top w:val="none" w:color="auto" w:sz="0" w:space="0"/>
          <w:bottom w:val="none" w:color="auto" w:sz="0" w:space="0"/>
          <w:right w:val="none" w:color="auto" w:sz="0" w:space="0"/>
        </w:pBdr>
        <w:tabs>
          <w:tab w:val="left" w:pos="720"/>
        </w:tabs>
        <w:kinsoku/>
        <w:wordWrap/>
        <w:overflowPunct/>
        <w:topLinePunct w:val="0"/>
        <w:autoSpaceDE/>
        <w:autoSpaceDN/>
        <w:bidi w:val="0"/>
        <w:adjustRightInd/>
        <w:snapToGrid/>
        <w:spacing w:before="60" w:beforeAutospacing="0" w:after="60" w:afterAutospacing="0" w:line="360" w:lineRule="auto"/>
        <w:ind w:right="0" w:rightChars="0"/>
        <w:jc w:val="left"/>
        <w:textAlignment w:val="auto"/>
        <w:rPr>
          <w:rFonts w:hint="default" w:ascii="Arial" w:hAnsi="Arial" w:eastAsia="Arial" w:cs="Arial"/>
          <w:i w:val="0"/>
          <w:iCs w:val="0"/>
          <w:caps w:val="0"/>
          <w:color w:val="333333"/>
          <w:spacing w:val="0"/>
          <w:sz w:val="24"/>
          <w:szCs w:val="24"/>
        </w:rPr>
      </w:pPr>
    </w:p>
    <w:p w14:paraId="4CFF81D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line="360" w:lineRule="auto"/>
        <w:ind w:left="0" w:right="0" w:firstLine="723" w:firstLineChars="200"/>
        <w:jc w:val="left"/>
        <w:textAlignment w:val="auto"/>
        <w:rPr>
          <w:rFonts w:hint="default" w:ascii="宋体" w:hAnsi="宋体" w:eastAsia="宋体" w:cs="宋体"/>
          <w:b/>
          <w:bCs/>
          <w:kern w:val="0"/>
          <w:sz w:val="36"/>
          <w:szCs w:val="36"/>
          <w:lang w:val="en-US" w:eastAsia="zh-CN" w:bidi="ar"/>
        </w:rPr>
      </w:pPr>
      <w:r>
        <w:rPr>
          <w:rFonts w:hint="default" w:ascii="宋体" w:hAnsi="宋体" w:eastAsia="宋体" w:cs="宋体"/>
          <w:b/>
          <w:bCs/>
          <w:kern w:val="0"/>
          <w:sz w:val="36"/>
          <w:szCs w:val="36"/>
          <w:lang w:val="en-US" w:eastAsia="zh-CN" w:bidi="ar"/>
        </w:rPr>
        <w:t>七、结论</w:t>
      </w:r>
    </w:p>
    <w:p w14:paraId="644BB8D7">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SCSR-H2-神谕通过“高能量密度氢电系统+倾转翼降耗设计+基础设施协同”三重壁垒，在UAM赛道构建了难以复制的竞争优势。以2035年为节点，项目内部收益率（IRR）可达‌</w:t>
      </w:r>
      <w:r>
        <w:rPr>
          <w:rStyle w:val="10"/>
          <w:rFonts w:hint="default" w:ascii="Arial" w:hAnsi="Arial" w:eastAsia="Arial" w:cs="Arial"/>
          <w:i w:val="0"/>
          <w:iCs w:val="0"/>
          <w:caps w:val="0"/>
          <w:color w:val="333333"/>
          <w:spacing w:val="0"/>
          <w:sz w:val="24"/>
          <w:szCs w:val="24"/>
          <w:bdr w:val="none" w:color="auto" w:sz="0" w:space="0"/>
          <w:shd w:val="clear" w:fill="FFFFFF"/>
        </w:rPr>
        <w:t>28%-32%</w:t>
      </w:r>
      <w:r>
        <w:rPr>
          <w:rFonts w:hint="default" w:ascii="Arial" w:hAnsi="Arial" w:eastAsia="Arial" w:cs="Arial"/>
          <w:i w:val="0"/>
          <w:iCs w:val="0"/>
          <w:caps w:val="0"/>
          <w:color w:val="333333"/>
          <w:spacing w:val="0"/>
          <w:sz w:val="24"/>
          <w:szCs w:val="24"/>
          <w:bdr w:val="none" w:color="auto" w:sz="0" w:space="0"/>
          <w:shd w:val="clear" w:fill="FFFFFF"/>
        </w:rPr>
        <w:t>‌，净现值（NPV）突破‌</w:t>
      </w:r>
      <w:r>
        <w:rPr>
          <w:rStyle w:val="10"/>
          <w:rFonts w:hint="default" w:ascii="Arial" w:hAnsi="Arial" w:eastAsia="Arial" w:cs="Arial"/>
          <w:i w:val="0"/>
          <w:iCs w:val="0"/>
          <w:caps w:val="0"/>
          <w:color w:val="333333"/>
          <w:spacing w:val="0"/>
          <w:sz w:val="24"/>
          <w:szCs w:val="24"/>
          <w:bdr w:val="none" w:color="auto" w:sz="0" w:space="0"/>
          <w:shd w:val="clear" w:fill="FFFFFF"/>
        </w:rPr>
        <w:t>120亿美元</w:t>
      </w:r>
      <w:r>
        <w:rPr>
          <w:rFonts w:hint="default" w:ascii="Arial" w:hAnsi="Arial" w:eastAsia="Arial" w:cs="Arial"/>
          <w:i w:val="0"/>
          <w:iCs w:val="0"/>
          <w:caps w:val="0"/>
          <w:color w:val="333333"/>
          <w:spacing w:val="0"/>
          <w:sz w:val="24"/>
          <w:szCs w:val="24"/>
          <w:bdr w:val="none" w:color="auto" w:sz="0" w:space="0"/>
          <w:shd w:val="clear" w:fill="FFFFFF"/>
        </w:rPr>
        <w:t>‌。投资者若在2025年参与首轮融资（估值30亿美元），至2030年股权价值有望增长‌</w:t>
      </w:r>
      <w:r>
        <w:rPr>
          <w:rStyle w:val="10"/>
          <w:rFonts w:hint="default" w:ascii="Arial" w:hAnsi="Arial" w:eastAsia="Arial" w:cs="Arial"/>
          <w:i w:val="0"/>
          <w:iCs w:val="0"/>
          <w:caps w:val="0"/>
          <w:color w:val="333333"/>
          <w:spacing w:val="0"/>
          <w:sz w:val="24"/>
          <w:szCs w:val="24"/>
          <w:bdr w:val="none" w:color="auto" w:sz="0" w:space="0"/>
          <w:shd w:val="clear" w:fill="FFFFFF"/>
        </w:rPr>
        <w:t>5-8倍</w:t>
      </w:r>
      <w:r>
        <w:rPr>
          <w:rFonts w:hint="default" w:ascii="Arial" w:hAnsi="Arial" w:eastAsia="Arial" w:cs="Arial"/>
          <w:i w:val="0"/>
          <w:iCs w:val="0"/>
          <w:caps w:val="0"/>
          <w:color w:val="333333"/>
          <w:spacing w:val="0"/>
          <w:sz w:val="24"/>
          <w:szCs w:val="24"/>
          <w:bdr w:val="none" w:color="auto" w:sz="0" w:space="0"/>
          <w:shd w:val="clear" w:fill="FFFFFF"/>
        </w:rPr>
        <w:t>‌。</w:t>
      </w:r>
    </w:p>
    <w:p w14:paraId="7F7E94DD">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附：核心参数对比表</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896"/>
        <w:gridCol w:w="2023"/>
        <w:gridCol w:w="2257"/>
        <w:gridCol w:w="1685"/>
      </w:tblGrid>
      <w:tr w14:paraId="20733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DC733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参数</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5E366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SCSR-H2-神谕</w:t>
            </w:r>
          </w:p>
        </w:tc>
        <w:tc>
          <w:tcPr>
            <w:tcW w:w="2227"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CC3D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纯电eVTOL</w:t>
            </w:r>
            <w:r>
              <w:rPr>
                <w:rFonts w:hint="eastAsia" w:ascii="Arial" w:hAnsi="Arial" w:eastAsia="Arial" w:cs="Arial"/>
                <w:b/>
                <w:bCs/>
                <w:i w:val="0"/>
                <w:iCs w:val="0"/>
                <w:caps w:val="0"/>
                <w:color w:val="848691"/>
                <w:spacing w:val="0"/>
                <w:kern w:val="0"/>
                <w:sz w:val="24"/>
                <w:szCs w:val="24"/>
                <w:bdr w:val="none" w:color="auto" w:sz="0" w:space="0"/>
                <w:lang w:val="en-US" w:eastAsia="zh-CN" w:bidi="ar"/>
              </w:rPr>
              <w:t xml:space="preserve">  </w:t>
            </w:r>
            <w:r>
              <w:rPr>
                <w:rFonts w:hint="default" w:ascii="Arial" w:hAnsi="Arial" w:eastAsia="Arial" w:cs="Arial"/>
                <w:b/>
                <w:bCs/>
                <w:i w:val="0"/>
                <w:iCs w:val="0"/>
                <w:caps w:val="0"/>
                <w:color w:val="848691"/>
                <w:spacing w:val="0"/>
                <w:kern w:val="0"/>
                <w:sz w:val="24"/>
                <w:szCs w:val="24"/>
                <w:bdr w:val="none" w:color="auto" w:sz="0" w:space="0"/>
                <w:lang w:val="en-US" w:eastAsia="zh-CN" w:bidi="ar"/>
              </w:rPr>
              <w:t>（竞品）</w:t>
            </w:r>
          </w:p>
        </w:tc>
        <w:tc>
          <w:tcPr>
            <w:tcW w:w="1640"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43C8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优势幅度</w:t>
            </w:r>
          </w:p>
        </w:tc>
      </w:tr>
      <w:tr w14:paraId="59437F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A161A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续航里程（km）</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2BF1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500-800</w:t>
            </w:r>
          </w:p>
        </w:tc>
        <w:tc>
          <w:tcPr>
            <w:tcW w:w="22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73A9A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150-250</w:t>
            </w:r>
          </w:p>
        </w:tc>
        <w:tc>
          <w:tcPr>
            <w:tcW w:w="164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E4E87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+300%</w:t>
            </w:r>
          </w:p>
        </w:tc>
      </w:tr>
      <w:tr w14:paraId="05E8C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B4947B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kern w:val="0"/>
                <w:sz w:val="24"/>
                <w:szCs w:val="24"/>
                <w:bdr w:val="none" w:color="auto" w:sz="0" w:space="0"/>
                <w:lang w:val="en-US" w:eastAsia="zh-CN" w:bidi="ar"/>
              </w:rPr>
            </w:pPr>
            <w:r>
              <w:rPr>
                <w:rFonts w:hint="default" w:ascii="Arial" w:hAnsi="Arial" w:eastAsia="Arial" w:cs="Arial"/>
                <w:i w:val="0"/>
                <w:iCs w:val="0"/>
                <w:caps w:val="0"/>
                <w:color w:val="333333"/>
                <w:spacing w:val="0"/>
                <w:kern w:val="0"/>
                <w:sz w:val="24"/>
                <w:szCs w:val="24"/>
                <w:bdr w:val="none" w:color="auto" w:sz="0" w:space="0"/>
                <w:lang w:val="en-US" w:eastAsia="zh-CN" w:bidi="ar"/>
              </w:rPr>
              <w:t>单里能耗成本</w:t>
            </w:r>
          </w:p>
          <w:p w14:paraId="0F886D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（美元）</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320D6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0.18-0.25</w:t>
            </w:r>
          </w:p>
        </w:tc>
        <w:tc>
          <w:tcPr>
            <w:tcW w:w="22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FD8E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0.35-0.50</w:t>
            </w:r>
          </w:p>
        </w:tc>
        <w:tc>
          <w:tcPr>
            <w:tcW w:w="164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F3FF9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w:t>
            </w:r>
          </w:p>
        </w:tc>
      </w:tr>
      <w:tr w14:paraId="63EDD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9D724A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日均运营架次</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2D750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8-12</w:t>
            </w:r>
          </w:p>
        </w:tc>
        <w:tc>
          <w:tcPr>
            <w:tcW w:w="22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F4DCC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4-6</w:t>
            </w:r>
          </w:p>
        </w:tc>
        <w:tc>
          <w:tcPr>
            <w:tcW w:w="164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F4955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+100%</w:t>
            </w:r>
          </w:p>
        </w:tc>
      </w:tr>
      <w:tr w14:paraId="016EC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84E87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生命周期总营收（万美元/架）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BE9B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1,200-1,800</w:t>
            </w:r>
          </w:p>
        </w:tc>
        <w:tc>
          <w:tcPr>
            <w:tcW w:w="222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059A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400-600</w:t>
            </w:r>
          </w:p>
        </w:tc>
        <w:tc>
          <w:tcPr>
            <w:tcW w:w="164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5DF8B5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+300%</w:t>
            </w:r>
          </w:p>
        </w:tc>
      </w:tr>
    </w:tbl>
    <w:p w14:paraId="44BBFF5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市场规模与增长</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3849"/>
        <w:gridCol w:w="1668"/>
        <w:gridCol w:w="1500"/>
        <w:gridCol w:w="1421"/>
      </w:tblGrid>
      <w:tr w14:paraId="66E82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C875386">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指标</w:t>
            </w:r>
          </w:p>
        </w:tc>
        <w:tc>
          <w:tcPr>
            <w:tcW w:w="1638"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D006FB4">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2025年（当前）</w:t>
            </w:r>
          </w:p>
        </w:tc>
        <w:tc>
          <w:tcPr>
            <w:tcW w:w="1470"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32A0B7A">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2030年（预测）</w:t>
            </w:r>
          </w:p>
        </w:tc>
        <w:tc>
          <w:tcPr>
            <w:tcW w:w="1363"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DB60EFB">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2035年（预测）</w:t>
            </w:r>
          </w:p>
        </w:tc>
      </w:tr>
      <w:tr w14:paraId="5FFC4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57C7FF5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全球UAM市场规模（亿美元）</w:t>
            </w:r>
          </w:p>
        </w:tc>
        <w:tc>
          <w:tcPr>
            <w:tcW w:w="163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827D00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50-80</w:t>
            </w:r>
          </w:p>
        </w:tc>
        <w:tc>
          <w:tcPr>
            <w:tcW w:w="147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616472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200-300</w:t>
            </w:r>
          </w:p>
        </w:tc>
        <w:tc>
          <w:tcPr>
            <w:tcW w:w="136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15713E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500-800</w:t>
            </w:r>
          </w:p>
        </w:tc>
      </w:tr>
      <w:tr w14:paraId="724E3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DA49C1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氢能技术渗透率</w:t>
            </w:r>
          </w:p>
        </w:tc>
        <w:tc>
          <w:tcPr>
            <w:tcW w:w="163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55A2D3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w:t>
            </w:r>
          </w:p>
        </w:tc>
        <w:tc>
          <w:tcPr>
            <w:tcW w:w="147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54119B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w:t>
            </w:r>
          </w:p>
        </w:tc>
        <w:tc>
          <w:tcPr>
            <w:tcW w:w="136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BFD09D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45%</w:t>
            </w:r>
          </w:p>
        </w:tc>
      </w:tr>
      <w:tr w14:paraId="556E77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584AD83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加氢站数量（全球）</w:t>
            </w:r>
          </w:p>
        </w:tc>
        <w:tc>
          <w:tcPr>
            <w:tcW w:w="163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1B99F3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1,200</w:t>
            </w:r>
          </w:p>
        </w:tc>
        <w:tc>
          <w:tcPr>
            <w:tcW w:w="1470"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31CD27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5,000</w:t>
            </w:r>
          </w:p>
        </w:tc>
        <w:tc>
          <w:tcPr>
            <w:tcW w:w="136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DB8A29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15,000</w:t>
            </w:r>
          </w:p>
        </w:tc>
      </w:tr>
    </w:tbl>
    <w:p w14:paraId="0FC731F4">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数据来源</w:t>
      </w:r>
      <w:r>
        <w:rPr>
          <w:rFonts w:hint="default" w:ascii="Arial" w:hAnsi="Arial" w:eastAsia="Arial" w:cs="Arial"/>
          <w:i w:val="0"/>
          <w:iCs w:val="0"/>
          <w:caps w:val="0"/>
          <w:color w:val="333333"/>
          <w:spacing w:val="0"/>
          <w:sz w:val="24"/>
          <w:szCs w:val="24"/>
          <w:bdr w:val="none" w:color="auto" w:sz="0" w:space="0"/>
          <w:shd w:val="clear" w:fill="FFFFFF"/>
        </w:rPr>
        <w:t>‌：彭博新能源财经（BNEF）、麦肯锡《氢能经济2030》</w:t>
      </w:r>
    </w:p>
    <w:p w14:paraId="37B123F7">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竞争格局</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396"/>
        <w:gridCol w:w="1725"/>
        <w:gridCol w:w="1836"/>
        <w:gridCol w:w="2709"/>
      </w:tblGrid>
      <w:tr w14:paraId="6B81A9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D82AAFC">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竞争对手</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D1ECFAB">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技术路线</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F699A9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续航（km）</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CF7E322">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单公里成本（美元）</w:t>
            </w:r>
          </w:p>
        </w:tc>
      </w:tr>
      <w:tr w14:paraId="7E978E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5FBC04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SCSR-H2-神谕</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C0D677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氢电混合</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F795B2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500-800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3CF77A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0.18-0.25</w:t>
            </w:r>
          </w:p>
        </w:tc>
      </w:tr>
      <w:tr w14:paraId="70233C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C4FE56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Joby Aviation</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FD4AE2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纯电</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A43D12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150-250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CCA27D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0.35-0.50</w:t>
            </w:r>
          </w:p>
        </w:tc>
      </w:tr>
      <w:tr w14:paraId="35216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63E118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Lilium</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751CA3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纯电+涡扇</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228008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200-300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CBAC8B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0.40-0.60</w:t>
            </w:r>
          </w:p>
        </w:tc>
      </w:tr>
      <w:tr w14:paraId="7FFD7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87D816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Airbus CityAirbus</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ECFFFB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氢燃料电池</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539B9D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300-400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77878E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0.25-0.35</w:t>
            </w:r>
          </w:p>
        </w:tc>
      </w:tr>
    </w:tbl>
    <w:p w14:paraId="6B968291">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竞争优势</w:t>
      </w:r>
      <w:r>
        <w:rPr>
          <w:rFonts w:hint="default" w:ascii="Arial" w:hAnsi="Arial" w:eastAsia="Arial" w:cs="Arial"/>
          <w:i w:val="0"/>
          <w:iCs w:val="0"/>
          <w:caps w:val="0"/>
          <w:color w:val="333333"/>
          <w:spacing w:val="0"/>
          <w:sz w:val="24"/>
          <w:szCs w:val="24"/>
          <w:bdr w:val="none" w:color="auto" w:sz="0" w:space="0"/>
          <w:shd w:val="clear" w:fill="FFFFFF"/>
        </w:rPr>
        <w:t>‌：</w:t>
      </w:r>
    </w:p>
    <w:p w14:paraId="00AA5DFA">
      <w:pPr>
        <w:keepNext w:val="0"/>
        <w:keepLines w:val="0"/>
        <w:widowControl/>
        <w:numPr>
          <w:ilvl w:val="0"/>
          <w:numId w:val="1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成本</w:t>
      </w:r>
      <w:r>
        <w:rPr>
          <w:rFonts w:hint="default" w:ascii="Arial" w:hAnsi="Arial" w:eastAsia="Arial" w:cs="Arial"/>
          <w:i w:val="0"/>
          <w:iCs w:val="0"/>
          <w:caps w:val="0"/>
          <w:color w:val="333333"/>
          <w:spacing w:val="0"/>
          <w:sz w:val="24"/>
          <w:szCs w:val="24"/>
          <w:shd w:val="clear" w:fill="FFFFFF"/>
        </w:rPr>
        <w:t>‌：氢燃料成本较电力低50%+，规模化后边际成本趋近于零。</w:t>
      </w:r>
    </w:p>
    <w:p w14:paraId="638E4C77">
      <w:pPr>
        <w:keepNext w:val="0"/>
        <w:keepLines w:val="0"/>
        <w:widowControl/>
        <w:numPr>
          <w:ilvl w:val="0"/>
          <w:numId w:val="12"/>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政策</w:t>
      </w:r>
      <w:r>
        <w:rPr>
          <w:rFonts w:hint="default" w:ascii="Arial" w:hAnsi="Arial" w:eastAsia="Arial" w:cs="Arial"/>
          <w:i w:val="0"/>
          <w:iCs w:val="0"/>
          <w:caps w:val="0"/>
          <w:color w:val="333333"/>
          <w:spacing w:val="0"/>
          <w:sz w:val="24"/>
          <w:szCs w:val="24"/>
          <w:shd w:val="clear" w:fill="FFFFFF"/>
        </w:rPr>
        <w:t>‌：欧盟、中国等已明确氢能航空补贴（每公斤氢气补贴1.5-2美元）。</w:t>
      </w:r>
    </w:p>
    <w:p w14:paraId="0D00EA4B">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pict>
          <v:rect id="_x0000_i1030" o:spt="1" style="height:1.5pt;width:0pt;" fillcolor="#333333" filled="t" stroked="f" coordsize="21600,21600" o:hr="t" o:hrstd="t" o:hrnoshade="t" o:hrpct="0" o:hralign="center">
            <v:path/>
            <v:fill on="t" focussize="0,0"/>
            <v:stroke on="f"/>
            <v:imagedata o:title=""/>
            <o:lock v:ext="edit"/>
            <w10:wrap type="none"/>
            <w10:anchorlock/>
          </v:rect>
        </w:pict>
      </w:r>
    </w:p>
    <w:p w14:paraId="01C4EF50">
      <w:pPr>
        <w:pStyle w:val="4"/>
        <w:keepNext w:val="0"/>
        <w:keepLines w:val="0"/>
        <w:widowControl/>
        <w:numPr>
          <w:ilvl w:val="0"/>
          <w:numId w:val="13"/>
        </w:numPr>
        <w:suppressLineNumbers w:val="0"/>
        <w:pBdr>
          <w:top w:val="none" w:color="auto" w:sz="0" w:space="0"/>
          <w:left w:val="none" w:color="auto" w:sz="0" w:space="0"/>
          <w:bottom w:val="none" w:color="auto" w:sz="0" w:space="0"/>
          <w:right w:val="none" w:color="auto" w:sz="0" w:space="0"/>
        </w:pBdr>
        <w:shd w:val="clear" w:fill="FFFFFF"/>
        <w:spacing w:line="450" w:lineRule="atLeast"/>
        <w:ind w:left="0" w:leftChars="0" w:right="0" w:firstLine="420" w:firstLineChars="0"/>
        <w:jc w:val="left"/>
        <w:rPr>
          <w:rFonts w:hint="default" w:ascii="Arial" w:hAnsi="Arial" w:eastAsia="Arial" w:cs="Arial"/>
          <w:i w:val="0"/>
          <w:iCs w:val="0"/>
          <w:caps w:val="0"/>
          <w:color w:val="333333"/>
          <w:spacing w:val="0"/>
        </w:rPr>
      </w:pPr>
      <w:r>
        <w:rPr>
          <w:rFonts w:hint="default" w:ascii="宋体" w:hAnsi="宋体" w:eastAsia="宋体" w:cs="宋体"/>
          <w:b/>
          <w:bCs/>
          <w:kern w:val="0"/>
          <w:sz w:val="36"/>
          <w:szCs w:val="36"/>
          <w:lang w:val="en-US" w:eastAsia="zh-CN" w:bidi="ar"/>
        </w:rPr>
        <w:t>‌产品与技术细节</w:t>
      </w:r>
      <w:r>
        <w:rPr>
          <w:rFonts w:hint="default" w:ascii="Arial" w:hAnsi="Arial" w:eastAsia="Arial" w:cs="Arial"/>
          <w:i w:val="0"/>
          <w:iCs w:val="0"/>
          <w:caps w:val="0"/>
          <w:color w:val="333333"/>
          <w:spacing w:val="0"/>
          <w:bdr w:val="none" w:color="auto" w:sz="0" w:space="0"/>
          <w:shd w:val="clear" w:fill="FFFFFF"/>
        </w:rPr>
        <w:t>‌</w:t>
      </w:r>
    </w:p>
    <w:p w14:paraId="4DBB603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技术架构</w:t>
      </w:r>
      <w:r>
        <w:rPr>
          <w:rFonts w:hint="default" w:ascii="Arial" w:hAnsi="Arial" w:eastAsia="Arial" w:cs="Arial"/>
          <w:i w:val="0"/>
          <w:iCs w:val="0"/>
          <w:caps w:val="0"/>
          <w:color w:val="333333"/>
          <w:spacing w:val="0"/>
          <w:sz w:val="24"/>
          <w:szCs w:val="24"/>
          <w:bdr w:val="none" w:color="auto" w:sz="0" w:space="0"/>
          <w:shd w:val="clear" w:fill="FFFFFF"/>
        </w:rPr>
        <w:t>‌</w:t>
      </w:r>
    </w:p>
    <w:p w14:paraId="2D7A09FB">
      <w:pPr>
        <w:keepNext w:val="0"/>
        <w:keepLines w:val="0"/>
        <w:widowControl/>
        <w:numPr>
          <w:ilvl w:val="0"/>
          <w:numId w:val="14"/>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动力系统</w:t>
      </w:r>
      <w:r>
        <w:rPr>
          <w:rFonts w:hint="default" w:ascii="Arial" w:hAnsi="Arial" w:eastAsia="Arial" w:cs="Arial"/>
          <w:i w:val="0"/>
          <w:iCs w:val="0"/>
          <w:caps w:val="0"/>
          <w:color w:val="333333"/>
          <w:spacing w:val="0"/>
          <w:sz w:val="24"/>
          <w:szCs w:val="24"/>
          <w:shd w:val="clear" w:fill="FFFFFF"/>
        </w:rPr>
        <w:t>‌：</w:t>
      </w:r>
    </w:p>
    <w:p w14:paraId="0B101814">
      <w:pPr>
        <w:keepNext w:val="0"/>
        <w:keepLines w:val="0"/>
        <w:widowControl/>
        <w:numPr>
          <w:ilvl w:val="1"/>
          <w:numId w:val="15"/>
        </w:numPr>
        <w:suppressLineNumbers w:val="0"/>
        <w:pBdr>
          <w:top w:val="none" w:color="auto" w:sz="0" w:space="0"/>
          <w:bottom w:val="none" w:color="auto" w:sz="0" w:space="0"/>
          <w:right w:val="none" w:color="auto" w:sz="0" w:space="0"/>
        </w:pBdr>
        <w:tabs>
          <w:tab w:val="left" w:pos="1440"/>
        </w:tabs>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燃料电池</w:t>
      </w:r>
      <w:r>
        <w:rPr>
          <w:rFonts w:hint="default" w:ascii="Arial" w:hAnsi="Arial" w:eastAsia="Arial" w:cs="Arial"/>
          <w:i w:val="0"/>
          <w:iCs w:val="0"/>
          <w:caps w:val="0"/>
          <w:color w:val="333333"/>
          <w:spacing w:val="0"/>
          <w:sz w:val="24"/>
          <w:szCs w:val="24"/>
          <w:shd w:val="clear" w:fill="FFFFFF"/>
        </w:rPr>
        <w:t>‌：120kW高功率密度电堆（峰值效率65%）。</w:t>
      </w:r>
    </w:p>
    <w:p w14:paraId="4E72F880">
      <w:pPr>
        <w:keepNext w:val="0"/>
        <w:keepLines w:val="0"/>
        <w:widowControl/>
        <w:numPr>
          <w:ilvl w:val="1"/>
          <w:numId w:val="15"/>
        </w:numPr>
        <w:suppressLineNumbers w:val="0"/>
        <w:pBdr>
          <w:top w:val="none" w:color="auto" w:sz="0" w:space="0"/>
          <w:bottom w:val="none" w:color="auto" w:sz="0" w:space="0"/>
          <w:right w:val="none" w:color="auto" w:sz="0" w:space="0"/>
        </w:pBdr>
        <w:tabs>
          <w:tab w:val="left" w:pos="1440"/>
        </w:tabs>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地板电池</w:t>
      </w:r>
      <w:r>
        <w:rPr>
          <w:rFonts w:hint="default" w:ascii="Arial" w:hAnsi="Arial" w:eastAsia="Arial" w:cs="Arial"/>
          <w:i w:val="0"/>
          <w:iCs w:val="0"/>
          <w:caps w:val="0"/>
          <w:color w:val="333333"/>
          <w:spacing w:val="0"/>
          <w:sz w:val="24"/>
          <w:szCs w:val="24"/>
          <w:shd w:val="clear" w:fill="FFFFFF"/>
        </w:rPr>
        <w:t>‌：48kWh固态电池包，支持双向充放电（充电效率90%）。</w:t>
      </w:r>
    </w:p>
    <w:p w14:paraId="362D6954">
      <w:pPr>
        <w:keepNext w:val="0"/>
        <w:keepLines w:val="0"/>
        <w:widowControl/>
        <w:numPr>
          <w:ilvl w:val="0"/>
          <w:numId w:val="14"/>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结构设计</w:t>
      </w:r>
      <w:r>
        <w:rPr>
          <w:rFonts w:hint="default" w:ascii="Arial" w:hAnsi="Arial" w:eastAsia="Arial" w:cs="Arial"/>
          <w:i w:val="0"/>
          <w:iCs w:val="0"/>
          <w:caps w:val="0"/>
          <w:color w:val="333333"/>
          <w:spacing w:val="0"/>
          <w:sz w:val="24"/>
          <w:szCs w:val="24"/>
          <w:shd w:val="clear" w:fill="FFFFFF"/>
        </w:rPr>
        <w:t>‌：</w:t>
      </w:r>
    </w:p>
    <w:p w14:paraId="0BA5E1C4">
      <w:pPr>
        <w:keepNext w:val="0"/>
        <w:keepLines w:val="0"/>
        <w:widowControl/>
        <w:numPr>
          <w:ilvl w:val="1"/>
          <w:numId w:val="14"/>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倾转翼布局</w:t>
      </w:r>
      <w:r>
        <w:rPr>
          <w:rFonts w:hint="default" w:ascii="Arial" w:hAnsi="Arial" w:eastAsia="Arial" w:cs="Arial"/>
          <w:i w:val="0"/>
          <w:iCs w:val="0"/>
          <w:caps w:val="0"/>
          <w:color w:val="333333"/>
          <w:spacing w:val="0"/>
          <w:sz w:val="24"/>
          <w:szCs w:val="24"/>
          <w:shd w:val="clear" w:fill="FFFFFF"/>
        </w:rPr>
        <w:t>‌：机翼倾转角度0-90°无极调节，升力系数提升30%。</w:t>
      </w:r>
    </w:p>
    <w:p w14:paraId="0E2C8295">
      <w:pPr>
        <w:keepNext w:val="0"/>
        <w:keepLines w:val="0"/>
        <w:widowControl/>
        <w:numPr>
          <w:ilvl w:val="1"/>
          <w:numId w:val="14"/>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轻量化材料</w:t>
      </w:r>
      <w:r>
        <w:rPr>
          <w:rFonts w:hint="default" w:ascii="Arial" w:hAnsi="Arial" w:eastAsia="Arial" w:cs="Arial"/>
          <w:i w:val="0"/>
          <w:iCs w:val="0"/>
          <w:caps w:val="0"/>
          <w:color w:val="333333"/>
          <w:spacing w:val="0"/>
          <w:sz w:val="24"/>
          <w:szCs w:val="24"/>
          <w:shd w:val="clear" w:fill="FFFFFF"/>
        </w:rPr>
        <w:t>‌：碳纤维复合材料占比70%，整机重量降低至1.2吨（竞品1.5-2吨）。</w:t>
      </w:r>
    </w:p>
    <w:p w14:paraId="33881D2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研发里程碑</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19"/>
        <w:gridCol w:w="4993"/>
        <w:gridCol w:w="1504"/>
      </w:tblGrid>
      <w:tr w14:paraId="5289C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843B8CC">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时间节点</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C7A9B94">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目标</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54038CD">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当前进度</w:t>
            </w:r>
          </w:p>
        </w:tc>
      </w:tr>
      <w:tr w14:paraId="5DA0C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00C3DB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2025 Q4</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BC26E7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完成10架原型机试飞（累计1,000小时）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A3F923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80%</w:t>
            </w:r>
          </w:p>
        </w:tc>
      </w:tr>
      <w:tr w14:paraId="213D8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92B1BC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2026 Q2</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68C567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通过EASA/FAA适航认证</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6E6A3B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w:t>
            </w:r>
          </w:p>
        </w:tc>
      </w:tr>
      <w:tr w14:paraId="5E1DD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A5C9DE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2027 Q1</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E4E043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量产基地投产（年产能1,000架）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C1A9F7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w:t>
            </w:r>
          </w:p>
        </w:tc>
      </w:tr>
    </w:tbl>
    <w:p w14:paraId="649FB8A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sz w:val="24"/>
          <w:szCs w:val="24"/>
        </w:rPr>
      </w:pPr>
      <w:r>
        <w:rPr>
          <w:sz w:val="24"/>
          <w:szCs w:val="24"/>
        </w:rPr>
        <w:pict>
          <v:rect id="_x0000_i1031" o:spt="1" style="height:1.5pt;width:0pt;" fillcolor="#333333" filled="t" stroked="f" coordsize="21600,21600" o:hr="t" o:hrstd="t" o:hrnoshade="t" o:hrpct="0" o:hralign="center">
            <v:path/>
            <v:fill on="t" focussize="0,0"/>
            <v:stroke on="f"/>
            <v:imagedata o:title=""/>
            <o:lock v:ext="edit"/>
            <w10:wrap type="none"/>
            <w10:anchorlock/>
          </v:rect>
        </w:pict>
      </w:r>
    </w:p>
    <w:p w14:paraId="4BE8AC5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eastAsia" w:eastAsia="宋体"/>
          <w:sz w:val="24"/>
          <w:szCs w:val="24"/>
          <w:lang w:eastAsia="zh-CN"/>
        </w:rPr>
      </w:pPr>
      <w:r>
        <w:rPr>
          <w:rFonts w:hint="eastAsia" w:eastAsia="宋体"/>
          <w:sz w:val="24"/>
          <w:szCs w:val="24"/>
          <w:lang w:eastAsia="zh-CN"/>
        </w:rPr>
        <w:drawing>
          <wp:inline distT="0" distB="0" distL="114300" distR="114300">
            <wp:extent cx="5266690" cy="2633345"/>
            <wp:effectExtent l="0" t="0" r="10160" b="14605"/>
            <wp:docPr id="13" name="图片 13" descr="SCSR-H2-神谕-白色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SR-H2-神谕-白色前"/>
                    <pic:cNvPicPr>
                      <a:picLocks noChangeAspect="1"/>
                    </pic:cNvPicPr>
                  </pic:nvPicPr>
                  <pic:blipFill>
                    <a:blip r:embed="rId8"/>
                    <a:stretch>
                      <a:fillRect/>
                    </a:stretch>
                  </pic:blipFill>
                  <pic:spPr>
                    <a:xfrm>
                      <a:off x="0" y="0"/>
                      <a:ext cx="5266690" cy="2633345"/>
                    </a:xfrm>
                    <a:prstGeom prst="rect">
                      <a:avLst/>
                    </a:prstGeom>
                  </pic:spPr>
                </pic:pic>
              </a:graphicData>
            </a:graphic>
          </wp:inline>
        </w:drawing>
      </w:r>
    </w:p>
    <w:p w14:paraId="458B956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eastAsia" w:cs="宋体"/>
          <w:b/>
          <w:bCs/>
          <w:kern w:val="0"/>
          <w:sz w:val="36"/>
          <w:szCs w:val="36"/>
          <w:lang w:val="en-US" w:eastAsia="zh-CN" w:bidi="ar"/>
        </w:rPr>
        <w:t>九</w:t>
      </w:r>
      <w:r>
        <w:rPr>
          <w:rFonts w:hint="default" w:ascii="宋体" w:hAnsi="宋体" w:eastAsia="宋体" w:cs="宋体"/>
          <w:b/>
          <w:bCs/>
          <w:kern w:val="0"/>
          <w:sz w:val="36"/>
          <w:szCs w:val="36"/>
          <w:lang w:val="en-US" w:eastAsia="zh-CN" w:bidi="ar"/>
        </w:rPr>
        <w:t>、商业模式与盈利矩阵</w:t>
      </w:r>
      <w:r>
        <w:rPr>
          <w:rFonts w:hint="default" w:ascii="Arial" w:hAnsi="Arial" w:eastAsia="Arial" w:cs="Arial"/>
          <w:i w:val="0"/>
          <w:iCs w:val="0"/>
          <w:caps w:val="0"/>
          <w:color w:val="333333"/>
          <w:spacing w:val="0"/>
          <w:bdr w:val="none" w:color="auto" w:sz="0" w:space="0"/>
          <w:shd w:val="clear" w:fill="FFFFFF"/>
        </w:rPr>
        <w:t>‌</w:t>
      </w:r>
    </w:p>
    <w:p w14:paraId="20C01E0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收入来源</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39"/>
        <w:gridCol w:w="2735"/>
        <w:gridCol w:w="1566"/>
        <w:gridCol w:w="2621"/>
      </w:tblGrid>
      <w:tr w14:paraId="5388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6E9E1D0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业务板块</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39E45D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收入占比（2030年）</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901454F">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毛利率</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549722C">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客户群体</w:t>
            </w:r>
          </w:p>
        </w:tc>
      </w:tr>
      <w:tr w14:paraId="31C0D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ECFF4F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飞行器销售</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AC22C7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B5FD28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30%-35%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5DEA22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航空公司、物流企业</w:t>
            </w:r>
          </w:p>
        </w:tc>
      </w:tr>
      <w:tr w14:paraId="3D30A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831B0D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加氢服务订阅</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E59E5D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3DE26E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50%-60%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63FD3E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运营商、政府</w:t>
            </w:r>
          </w:p>
        </w:tc>
      </w:tr>
      <w:tr w14:paraId="583B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D1A07F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数据增值服务</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D97153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9027D6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70%-80%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3036EA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第三方平台</w:t>
            </w:r>
          </w:p>
        </w:tc>
      </w:tr>
      <w:tr w14:paraId="2EBE9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6FDF66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基础设施租赁</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3F3893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DEE2BE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40%-50%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DF6608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氢能车企、零售</w:t>
            </w:r>
          </w:p>
        </w:tc>
      </w:tr>
    </w:tbl>
    <w:p w14:paraId="34C6AC2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成本结构</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95"/>
        <w:gridCol w:w="1007"/>
        <w:gridCol w:w="4021"/>
      </w:tblGrid>
      <w:tr w14:paraId="501B6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588FC2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项目</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080E8796">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占比</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120B65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优化策略</w:t>
            </w:r>
          </w:p>
        </w:tc>
      </w:tr>
      <w:tr w14:paraId="6D6A95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CA2BA3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氢燃料生产</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42DEE3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E4DA68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绿氢电解槽规模化（成本↓30%）</w:t>
            </w:r>
          </w:p>
        </w:tc>
      </w:tr>
      <w:tr w14:paraId="3DEC4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736016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飞行器制造</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6D9D65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DF6F8E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模块化生产（效率↑40%）</w:t>
            </w:r>
          </w:p>
        </w:tc>
      </w:tr>
      <w:tr w14:paraId="1BC90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018049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研发投入</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F25B41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EAC239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专利授权（收入反哺）</w:t>
            </w:r>
          </w:p>
        </w:tc>
      </w:tr>
      <w:tr w14:paraId="64145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EA6FB8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基础设施运维</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4C9F6E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44D16C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AI调度降耗（能耗↓20%）</w:t>
            </w:r>
          </w:p>
        </w:tc>
      </w:tr>
    </w:tbl>
    <w:p w14:paraId="2A61B29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32" o:spt="1" style="height:1.5pt;width:0pt;" fillcolor="#333333" filled="t" stroked="f" coordsize="21600,21600" o:hr="t" o:hrstd="t" o:hrnoshade="t" o:hrpct="0" o:hralign="center">
            <v:path/>
            <v:fill on="t" focussize="0,0"/>
            <v:stroke on="f"/>
            <v:imagedata o:title=""/>
            <o:lock v:ext="edit"/>
            <w10:wrap type="none"/>
            <w10:anchorlock/>
          </v:rect>
        </w:pict>
      </w:r>
    </w:p>
    <w:p w14:paraId="755BDC2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eastAsia" w:ascii="Arial" w:hAnsi="Arial" w:cs="Arial"/>
          <w:i w:val="0"/>
          <w:iCs w:val="0"/>
          <w:caps w:val="0"/>
          <w:color w:val="333333"/>
          <w:spacing w:val="0"/>
          <w:bdr w:val="none" w:color="auto" w:sz="0" w:space="0"/>
          <w:shd w:val="clear" w:fill="FFFFFF"/>
          <w:lang w:val="en-US" w:eastAsia="zh-CN"/>
        </w:rPr>
        <w:t>十</w:t>
      </w:r>
      <w:r>
        <w:rPr>
          <w:rStyle w:val="10"/>
          <w:rFonts w:hint="default" w:ascii="Arial" w:hAnsi="Arial" w:eastAsia="Arial" w:cs="Arial"/>
          <w:b/>
          <w:i w:val="0"/>
          <w:iCs w:val="0"/>
          <w:caps w:val="0"/>
          <w:color w:val="333333"/>
          <w:spacing w:val="0"/>
          <w:bdr w:val="none" w:color="auto" w:sz="0" w:space="0"/>
          <w:shd w:val="clear" w:fill="FFFFFF"/>
        </w:rPr>
        <w:t>、资金规划与财务预测</w:t>
      </w:r>
      <w:r>
        <w:rPr>
          <w:rFonts w:hint="default" w:ascii="Arial" w:hAnsi="Arial" w:eastAsia="Arial" w:cs="Arial"/>
          <w:i w:val="0"/>
          <w:iCs w:val="0"/>
          <w:caps w:val="0"/>
          <w:color w:val="333333"/>
          <w:spacing w:val="0"/>
          <w:bdr w:val="none" w:color="auto" w:sz="0" w:space="0"/>
          <w:shd w:val="clear" w:fill="FFFFFF"/>
        </w:rPr>
        <w:t>‌</w:t>
      </w:r>
    </w:p>
    <w:p w14:paraId="4BEEB3BC">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融资需求</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78"/>
        <w:gridCol w:w="2078"/>
        <w:gridCol w:w="2712"/>
        <w:gridCol w:w="2093"/>
      </w:tblGrid>
      <w:tr w14:paraId="167FF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48FDA25">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轮次</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28AC0D0">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金额（亿美元）</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F4A37C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用途</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23147B2">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估值（亿美元）</w:t>
            </w:r>
          </w:p>
        </w:tc>
      </w:tr>
      <w:tr w14:paraId="09948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7659EB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Pre-A轮</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D2E745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C32ACC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原型机测试、适航认证</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6BCE15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15</w:t>
            </w:r>
          </w:p>
        </w:tc>
      </w:tr>
      <w:tr w14:paraId="222DD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5265583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A轮（2026）</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3CCB2F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5.0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DE3689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量产基地建设</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EAD7D2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30</w:t>
            </w:r>
          </w:p>
        </w:tc>
      </w:tr>
      <w:tr w14:paraId="0ABD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E5EE04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B轮（2028）</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89CDB3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10.0</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D2A103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全球加氢网络铺设</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8BD498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80</w:t>
            </w:r>
          </w:p>
        </w:tc>
      </w:tr>
    </w:tbl>
    <w:p w14:paraId="0891351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财务展望（2025-2035）</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235"/>
        <w:gridCol w:w="1059"/>
        <w:gridCol w:w="1059"/>
        <w:gridCol w:w="1074"/>
      </w:tblGrid>
      <w:tr w14:paraId="2EC75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818EAB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指标</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1D7E889">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2025</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748B124">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2030</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558461F">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2035</w:t>
            </w:r>
          </w:p>
        </w:tc>
      </w:tr>
      <w:tr w14:paraId="19DC7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27FBD4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收入（亿美元）</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542EA6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1.8</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6F2E7A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AF9A16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60</w:t>
            </w:r>
          </w:p>
        </w:tc>
      </w:tr>
      <w:tr w14:paraId="1CAF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7FACB6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净利润率</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1F2DEE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3C0AD6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22%</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D67C10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28%</w:t>
            </w:r>
          </w:p>
        </w:tc>
      </w:tr>
      <w:tr w14:paraId="1A7C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AB634F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现金流</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D3FB99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-1.2</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BECCCC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+4.5</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EF4726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+18</w:t>
            </w:r>
          </w:p>
        </w:tc>
      </w:tr>
    </w:tbl>
    <w:p w14:paraId="0C6C55AE">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IRR（内部收益率）</w:t>
      </w:r>
      <w:r>
        <w:rPr>
          <w:rFonts w:hint="default" w:ascii="Arial" w:hAnsi="Arial" w:eastAsia="Arial" w:cs="Arial"/>
          <w:i w:val="0"/>
          <w:iCs w:val="0"/>
          <w:caps w:val="0"/>
          <w:color w:val="333333"/>
          <w:spacing w:val="0"/>
          <w:sz w:val="24"/>
          <w:szCs w:val="24"/>
          <w:bdr w:val="none" w:color="auto" w:sz="0" w:space="0"/>
          <w:shd w:val="clear" w:fill="FFFFFF"/>
        </w:rPr>
        <w:t>‌：28%-32%（基准折现率10%）</w:t>
      </w:r>
      <w:r>
        <w:rPr>
          <w:rFonts w:hint="default" w:ascii="Arial" w:hAnsi="Arial" w:eastAsia="Arial" w:cs="Arial"/>
          <w:i w:val="0"/>
          <w:iCs w:val="0"/>
          <w:caps w:val="0"/>
          <w:color w:val="333333"/>
          <w:spacing w:val="0"/>
          <w:sz w:val="24"/>
          <w:szCs w:val="24"/>
          <w:bdr w:val="none" w:color="auto" w:sz="0" w:space="0"/>
          <w:shd w:val="clear" w:fill="FFFFFF"/>
        </w:rPr>
        <w:br w:type="textWrapping"/>
      </w: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投资回收期</w:t>
      </w:r>
      <w:r>
        <w:rPr>
          <w:rFonts w:hint="default" w:ascii="Arial" w:hAnsi="Arial" w:eastAsia="Arial" w:cs="Arial"/>
          <w:i w:val="0"/>
          <w:iCs w:val="0"/>
          <w:caps w:val="0"/>
          <w:color w:val="333333"/>
          <w:spacing w:val="0"/>
          <w:sz w:val="24"/>
          <w:szCs w:val="24"/>
          <w:bdr w:val="none" w:color="auto" w:sz="0" w:space="0"/>
          <w:shd w:val="clear" w:fill="FFFFFF"/>
        </w:rPr>
        <w:t>‌：6-8年（含建设期）</w:t>
      </w:r>
    </w:p>
    <w:p w14:paraId="29F953B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Style w:val="10"/>
          <w:rFonts w:hint="eastAsia" w:ascii="Arial" w:hAnsi="Arial" w:cs="Arial"/>
          <w:b/>
          <w:i w:val="0"/>
          <w:iCs w:val="0"/>
          <w:caps w:val="0"/>
          <w:color w:val="333333"/>
          <w:spacing w:val="0"/>
          <w:bdr w:val="none" w:color="auto" w:sz="0" w:space="0"/>
          <w:shd w:val="clear" w:fill="FFFFFF"/>
          <w:lang w:val="en-US" w:eastAsia="zh-CN"/>
        </w:rPr>
        <w:t>十一</w:t>
      </w:r>
      <w:r>
        <w:rPr>
          <w:rStyle w:val="10"/>
          <w:rFonts w:hint="default" w:ascii="Arial" w:hAnsi="Arial" w:eastAsia="Arial" w:cs="Arial"/>
          <w:b/>
          <w:i w:val="0"/>
          <w:iCs w:val="0"/>
          <w:caps w:val="0"/>
          <w:color w:val="333333"/>
          <w:spacing w:val="0"/>
          <w:bdr w:val="none" w:color="auto" w:sz="0" w:space="0"/>
          <w:shd w:val="clear" w:fill="FFFFFF"/>
        </w:rPr>
        <w:t>、风险与应对</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722"/>
        <w:gridCol w:w="1196"/>
        <w:gridCol w:w="1061"/>
        <w:gridCol w:w="4882"/>
      </w:tblGrid>
      <w:tr w14:paraId="71A25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44314B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风险类型</w:t>
            </w:r>
          </w:p>
        </w:tc>
        <w:tc>
          <w:tcPr>
            <w:tcW w:w="1166"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9A73AB2">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概率</w:t>
            </w:r>
          </w:p>
        </w:tc>
        <w:tc>
          <w:tcPr>
            <w:tcW w:w="1031"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70464B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影响</w:t>
            </w:r>
          </w:p>
        </w:tc>
        <w:tc>
          <w:tcPr>
            <w:tcW w:w="4837"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F00277E">
            <w:pPr>
              <w:keepNext w:val="0"/>
              <w:keepLines w:val="0"/>
              <w:widowControl/>
              <w:suppressLineNumbers w:val="0"/>
              <w:spacing w:before="0" w:beforeAutospacing="0" w:after="0" w:afterAutospacing="0"/>
              <w:ind w:left="0" w:right="0"/>
              <w:jc w:val="both"/>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应对策略</w:t>
            </w:r>
          </w:p>
        </w:tc>
      </w:tr>
      <w:tr w14:paraId="47305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8522CC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技术迭代</w:t>
            </w:r>
          </w:p>
        </w:tc>
        <w:tc>
          <w:tcPr>
            <w:tcW w:w="1166"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624256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中</w:t>
            </w:r>
          </w:p>
        </w:tc>
        <w:tc>
          <w:tcPr>
            <w:tcW w:w="10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AA0336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高</w:t>
            </w:r>
          </w:p>
        </w:tc>
        <w:tc>
          <w:tcPr>
            <w:tcW w:w="483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B631D7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预留10%研发预算投入固态氢</w:t>
            </w:r>
          </w:p>
        </w:tc>
      </w:tr>
      <w:tr w14:paraId="4CF50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F282E5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政策波动</w:t>
            </w:r>
          </w:p>
        </w:tc>
        <w:tc>
          <w:tcPr>
            <w:tcW w:w="1166"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136BFC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低</w:t>
            </w:r>
          </w:p>
        </w:tc>
        <w:tc>
          <w:tcPr>
            <w:tcW w:w="10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D0043E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中</w:t>
            </w:r>
          </w:p>
        </w:tc>
        <w:tc>
          <w:tcPr>
            <w:tcW w:w="483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51EAB0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绑定政府PPP项目（如迪拜智慧城市）</w:t>
            </w:r>
          </w:p>
        </w:tc>
      </w:tr>
      <w:tr w14:paraId="0EDADC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74DD30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氢能供应链</w:t>
            </w:r>
          </w:p>
        </w:tc>
        <w:tc>
          <w:tcPr>
            <w:tcW w:w="1166"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A0405D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高</w:t>
            </w:r>
          </w:p>
        </w:tc>
        <w:tc>
          <w:tcPr>
            <w:tcW w:w="10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E561AE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高</w:t>
            </w:r>
          </w:p>
        </w:tc>
        <w:tc>
          <w:tcPr>
            <w:tcW w:w="4837"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1F184D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自建绿氢生产基地（2030年覆盖50%需求）</w:t>
            </w:r>
          </w:p>
        </w:tc>
      </w:tr>
    </w:tbl>
    <w:p w14:paraId="01098BA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34" o:spt="1" style="height:1.5pt;width:0pt;" fillcolor="#333333" filled="t" stroked="f" coordsize="21600,21600" o:hr="t" o:hrstd="t" o:hrnoshade="t" o:hrpct="0" o:hralign="center">
            <v:path/>
            <v:fill on="t" focussize="0,0"/>
            <v:stroke on="f"/>
            <v:imagedata o:title=""/>
            <o:lock v:ext="edit"/>
            <w10:wrap type="none"/>
            <w10:anchorlock/>
          </v:rect>
        </w:pict>
      </w:r>
    </w:p>
    <w:p w14:paraId="2C3737B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eastAsia" w:ascii="Arial" w:hAnsi="Arial" w:cs="Arial"/>
          <w:i w:val="0"/>
          <w:iCs w:val="0"/>
          <w:caps w:val="0"/>
          <w:color w:val="333333"/>
          <w:spacing w:val="0"/>
          <w:bdr w:val="none" w:color="auto" w:sz="0" w:space="0"/>
          <w:shd w:val="clear" w:fill="FFFFFF"/>
          <w:lang w:val="en-US" w:eastAsia="zh-CN"/>
        </w:rPr>
        <w:t>十二</w:t>
      </w:r>
      <w:r>
        <w:rPr>
          <w:rStyle w:val="10"/>
          <w:rFonts w:hint="default" w:ascii="Arial" w:hAnsi="Arial" w:eastAsia="Arial" w:cs="Arial"/>
          <w:b/>
          <w:i w:val="0"/>
          <w:iCs w:val="0"/>
          <w:caps w:val="0"/>
          <w:color w:val="333333"/>
          <w:spacing w:val="0"/>
          <w:bdr w:val="none" w:color="auto" w:sz="0" w:space="0"/>
          <w:shd w:val="clear" w:fill="FFFFFF"/>
        </w:rPr>
        <w:t>、附录</w:t>
      </w:r>
      <w:r>
        <w:rPr>
          <w:rFonts w:hint="default" w:ascii="Arial" w:hAnsi="Arial" w:eastAsia="Arial" w:cs="Arial"/>
          <w:i w:val="0"/>
          <w:iCs w:val="0"/>
          <w:caps w:val="0"/>
          <w:color w:val="333333"/>
          <w:spacing w:val="0"/>
          <w:bdr w:val="none" w:color="auto" w:sz="0" w:space="0"/>
          <w:shd w:val="clear" w:fill="FFFFFF"/>
        </w:rPr>
        <w:t>‌</w:t>
      </w:r>
    </w:p>
    <w:p w14:paraId="3BC39086">
      <w:pPr>
        <w:keepNext w:val="0"/>
        <w:keepLines w:val="0"/>
        <w:widowControl/>
        <w:numPr>
          <w:ilvl w:val="0"/>
          <w:numId w:val="16"/>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技术参数表</w:t>
      </w:r>
      <w:r>
        <w:rPr>
          <w:rFonts w:hint="default" w:ascii="Arial" w:hAnsi="Arial" w:eastAsia="Arial" w:cs="Arial"/>
          <w:i w:val="0"/>
          <w:iCs w:val="0"/>
          <w:caps w:val="0"/>
          <w:color w:val="333333"/>
          <w:spacing w:val="0"/>
          <w:sz w:val="24"/>
          <w:szCs w:val="24"/>
          <w:shd w:val="clear" w:fill="FFFFFF"/>
        </w:rPr>
        <w:t>‌：SCSR-H2-神谕 vs 竞品详细对比</w:t>
      </w:r>
    </w:p>
    <w:p w14:paraId="502415EB">
      <w:pPr>
        <w:keepNext w:val="0"/>
        <w:keepLines w:val="0"/>
        <w:widowControl/>
        <w:numPr>
          <w:ilvl w:val="0"/>
          <w:numId w:val="16"/>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试点城市合作清单</w:t>
      </w:r>
      <w:r>
        <w:rPr>
          <w:rFonts w:hint="default" w:ascii="Arial" w:hAnsi="Arial" w:eastAsia="Arial" w:cs="Arial"/>
          <w:i w:val="0"/>
          <w:iCs w:val="0"/>
          <w:caps w:val="0"/>
          <w:color w:val="333333"/>
          <w:spacing w:val="0"/>
          <w:sz w:val="24"/>
          <w:szCs w:val="24"/>
          <w:shd w:val="clear" w:fill="FFFFFF"/>
        </w:rPr>
        <w:t>‌：迪拜、新加坡、上海、洛杉矶</w:t>
      </w:r>
    </w:p>
    <w:p w14:paraId="01413B16">
      <w:pPr>
        <w:keepNext w:val="0"/>
        <w:keepLines w:val="0"/>
        <w:widowControl/>
        <w:numPr>
          <w:ilvl w:val="0"/>
          <w:numId w:val="16"/>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核心团队背景</w:t>
      </w:r>
      <w:r>
        <w:rPr>
          <w:rFonts w:hint="default" w:ascii="Arial" w:hAnsi="Arial" w:eastAsia="Arial" w:cs="Arial"/>
          <w:i w:val="0"/>
          <w:iCs w:val="0"/>
          <w:caps w:val="0"/>
          <w:color w:val="333333"/>
          <w:spacing w:val="0"/>
          <w:sz w:val="24"/>
          <w:szCs w:val="24"/>
          <w:shd w:val="clear" w:fill="FFFFFF"/>
        </w:rPr>
        <w:t>‌：NASA前首席工程师、特斯拉储能事业部高管、空客氢能项目负责人</w:t>
      </w:r>
    </w:p>
    <w:p w14:paraId="3F24FE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pict>
          <v:rect id="_x0000_i1035" o:spt="1" style="height:1.5pt;width:0pt;" fillcolor="#333333" filled="t" stroked="f" coordsize="21600,21600" o:hr="t" o:hrstd="t" o:hrnoshade="t" o:hrpct="0" o:hralign="center">
            <v:path/>
            <v:fill on="t" focussize="0,0"/>
            <v:stroke on="f"/>
            <v:imagedata o:title=""/>
            <o:lock v:ext="edit"/>
            <w10:wrap type="none"/>
            <w10:anchorlock/>
          </v:rect>
        </w:pict>
      </w:r>
    </w:p>
    <w:p w14:paraId="38D465DF">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交付格式说明</w:t>
      </w:r>
      <w:r>
        <w:rPr>
          <w:rFonts w:hint="default" w:ascii="Arial" w:hAnsi="Arial" w:eastAsia="Arial" w:cs="Arial"/>
          <w:i w:val="0"/>
          <w:iCs w:val="0"/>
          <w:caps w:val="0"/>
          <w:color w:val="333333"/>
          <w:spacing w:val="0"/>
          <w:sz w:val="24"/>
          <w:szCs w:val="24"/>
          <w:bdr w:val="none" w:color="auto" w:sz="0" w:space="0"/>
          <w:shd w:val="clear" w:fill="FFFFFF"/>
        </w:rPr>
        <w:t>‌：</w:t>
      </w:r>
    </w:p>
    <w:p w14:paraId="3E5C7F67">
      <w:pPr>
        <w:keepNext w:val="0"/>
        <w:keepLines w:val="0"/>
        <w:widowControl/>
        <w:numPr>
          <w:ilvl w:val="0"/>
          <w:numId w:val="17"/>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采用模块化排版，关键数据以表格/加粗凸显，适配投资者快速阅读习惯。</w:t>
      </w:r>
    </w:p>
    <w:p w14:paraId="79F3EC97">
      <w:pPr>
        <w:keepNext w:val="0"/>
        <w:keepLines w:val="0"/>
        <w:widowControl/>
        <w:numPr>
          <w:ilvl w:val="0"/>
          <w:numId w:val="17"/>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时间轴与财务预测严格对齐2025年基准，确保时效性。</w:t>
      </w:r>
    </w:p>
    <w:p w14:paraId="2B187A28">
      <w:pPr>
        <w:keepNext w:val="0"/>
        <w:keepLines w:val="0"/>
        <w:widowControl/>
        <w:numPr>
          <w:ilvl w:val="0"/>
          <w:numId w:val="17"/>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风险部分以概率-影响矩阵呈现，增强决策参考价值。</w:t>
      </w:r>
    </w:p>
    <w:p w14:paraId="2A5CE3BB">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05" w:beforeAutospacing="0" w:after="105" w:afterAutospacing="0" w:line="360" w:lineRule="auto"/>
        <w:ind w:left="0" w:right="0" w:firstLine="480" w:firstLineChars="200"/>
        <w:jc w:val="left"/>
        <w:textAlignment w:val="auto"/>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（注：以上数据基于2025年2月25日技术条件与市场环境测算）</w:t>
      </w:r>
    </w:p>
    <w:p w14:paraId="4102CB1A">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p>
    <w:p w14:paraId="4A4EA79E">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p>
    <w:p w14:paraId="5153AC8D">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30"/>
          <w:szCs w:val="30"/>
          <w:bdr w:val="none" w:color="auto" w:sz="0" w:space="0"/>
          <w:shd w:val="clear" w:fill="FFFFFF"/>
        </w:rPr>
        <w:t>‌</w:t>
      </w:r>
      <w:r>
        <w:rPr>
          <w:rStyle w:val="10"/>
          <w:rFonts w:hint="default" w:ascii="Arial" w:hAnsi="Arial" w:eastAsia="Arial" w:cs="Arial"/>
          <w:i w:val="0"/>
          <w:iCs w:val="0"/>
          <w:caps w:val="0"/>
          <w:color w:val="333333"/>
          <w:spacing w:val="0"/>
          <w:sz w:val="30"/>
          <w:szCs w:val="30"/>
          <w:bdr w:val="none" w:color="auto" w:sz="0" w:space="0"/>
          <w:shd w:val="clear" w:fill="FFFFFF"/>
        </w:rPr>
        <w:t>SCSR-H2 飞机制造参数（2025年02月25日最新版）</w:t>
      </w:r>
      <w:r>
        <w:rPr>
          <w:rFonts w:hint="default" w:ascii="Arial" w:hAnsi="Arial" w:eastAsia="Arial" w:cs="Arial"/>
          <w:i w:val="0"/>
          <w:iCs w:val="0"/>
          <w:caps w:val="0"/>
          <w:color w:val="333333"/>
          <w:spacing w:val="0"/>
          <w:sz w:val="24"/>
          <w:szCs w:val="24"/>
          <w:bdr w:val="none" w:color="auto" w:sz="0" w:space="0"/>
          <w:shd w:val="clear" w:fill="FFFFFF"/>
        </w:rPr>
        <w:t>‌</w:t>
      </w:r>
      <w:r>
        <w:rPr>
          <w:rFonts w:hint="default" w:ascii="Arial" w:hAnsi="Arial" w:eastAsia="Arial" w:cs="Arial"/>
          <w:i w:val="0"/>
          <w:iCs w:val="0"/>
          <w:caps w:val="0"/>
          <w:color w:val="333333"/>
          <w:spacing w:val="0"/>
          <w:sz w:val="24"/>
          <w:szCs w:val="24"/>
          <w:bdr w:val="none" w:color="auto" w:sz="0" w:space="0"/>
          <w:shd w:val="clear" w:fill="FFFFFF"/>
        </w:rPr>
        <w:br w:type="textWrapping"/>
      </w: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按模块化分类，适配快速查阅与供应链验证需求</w:t>
      </w:r>
      <w:r>
        <w:rPr>
          <w:rFonts w:hint="default" w:ascii="Arial" w:hAnsi="Arial" w:eastAsia="Arial" w:cs="Arial"/>
          <w:i w:val="0"/>
          <w:iCs w:val="0"/>
          <w:caps w:val="0"/>
          <w:color w:val="333333"/>
          <w:spacing w:val="0"/>
          <w:sz w:val="24"/>
          <w:szCs w:val="24"/>
          <w:bdr w:val="none" w:color="auto" w:sz="0" w:space="0"/>
          <w:shd w:val="clear" w:fill="FFFFFF"/>
        </w:rPr>
        <w:t>‌</w:t>
      </w:r>
    </w:p>
    <w:p w14:paraId="13756C9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rFonts w:ascii="Arial" w:hAnsi="Arial" w:eastAsia="Arial" w:cs="Arial"/>
          <w:i w:val="0"/>
          <w:iCs w:val="0"/>
          <w:caps w:val="0"/>
          <w:color w:val="333333"/>
          <w:spacing w:val="0"/>
          <w:sz w:val="24"/>
          <w:szCs w:val="24"/>
        </w:rPr>
        <w:pict>
          <v:rect id="_x0000_i1036" o:spt="1" style="height:1.5pt;width:0pt;" fillcolor="#333333" filled="t" stroked="f" coordsize="21600,21600" o:hr="t" o:hrstd="t" o:hrnoshade="t" o:hrpct="0" o:hralign="center">
            <v:path/>
            <v:fill on="t" focussize="0,0"/>
            <v:stroke on="f"/>
            <v:imagedata o:title=""/>
            <o:lock v:ext="edit"/>
            <w10:wrap type="none"/>
            <w10:anchorlock/>
          </v:rect>
        </w:pict>
      </w:r>
    </w:p>
    <w:p w14:paraId="08D491F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一、机身结构与材料参数</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004"/>
        <w:gridCol w:w="2753"/>
        <w:gridCol w:w="1961"/>
        <w:gridCol w:w="3143"/>
      </w:tblGrid>
      <w:tr w14:paraId="06A9A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C1861EA">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参数</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2723"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62E234AF">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技术规格</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1931"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70F56F5">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关键供应商</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3098"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E195E2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性能验证</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65DCA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6D8F29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机身材料</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272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C46406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T800碳纤维复合材料（东丽Toray® TC-35）</w:t>
            </w:r>
          </w:p>
        </w:tc>
        <w:tc>
          <w:tcPr>
            <w:tcW w:w="19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D08D52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东丽（日本）</w:t>
            </w:r>
          </w:p>
        </w:tc>
        <w:tc>
          <w:tcPr>
            <w:tcW w:w="309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927104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拉伸强度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4.8GPa</w:t>
            </w:r>
            <w:r>
              <w:rPr>
                <w:rFonts w:hint="default" w:ascii="Arial" w:hAnsi="Arial" w:eastAsia="Arial" w:cs="Arial"/>
                <w:i w:val="0"/>
                <w:iCs w:val="0"/>
                <w:caps w:val="0"/>
                <w:color w:val="333333"/>
                <w:spacing w:val="0"/>
                <w:kern w:val="0"/>
                <w:sz w:val="24"/>
                <w:szCs w:val="24"/>
                <w:bdr w:val="none" w:color="auto" w:sz="0" w:space="0"/>
                <w:lang w:val="en-US" w:eastAsia="zh-CN" w:bidi="ar"/>
              </w:rPr>
              <w:t>‌，密度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1.55g/cm³</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3D22B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BD3A47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主翼结构</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272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18E58F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蜂窝夹层结构（Nomex®芯材）</w:t>
            </w:r>
          </w:p>
        </w:tc>
        <w:tc>
          <w:tcPr>
            <w:tcW w:w="19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0D3073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赫氏Hexcel（美国）</w:t>
            </w:r>
          </w:p>
        </w:tc>
        <w:tc>
          <w:tcPr>
            <w:tcW w:w="309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CE47308">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抗弯刚度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+40%</w:t>
            </w:r>
            <w:r>
              <w:rPr>
                <w:rFonts w:hint="default" w:ascii="Arial" w:hAnsi="Arial" w:eastAsia="Arial" w:cs="Arial"/>
                <w:i w:val="0"/>
                <w:iCs w:val="0"/>
                <w:caps w:val="0"/>
                <w:color w:val="333333"/>
                <w:spacing w:val="0"/>
                <w:kern w:val="0"/>
                <w:sz w:val="24"/>
                <w:szCs w:val="24"/>
                <w:bdr w:val="none" w:color="auto" w:sz="0" w:space="0"/>
                <w:lang w:val="en-US" w:eastAsia="zh-CN" w:bidi="ar"/>
              </w:rPr>
              <w:t>‌，减重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30%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6856D0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40" w:hRule="atLeast"/>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06ED190D">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储氢罐</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272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28E057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70MPa IV型碳纤维罐（内衬PA6聚合物）</w:t>
            </w:r>
          </w:p>
        </w:tc>
        <w:tc>
          <w:tcPr>
            <w:tcW w:w="19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78F9BF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Hexagon Purus（挪威）</w:t>
            </w:r>
          </w:p>
        </w:tc>
        <w:tc>
          <w:tcPr>
            <w:tcW w:w="309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960F73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渗透率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≤0.01cc/cm²/day</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2F1B5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68368A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紧固件</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2723"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283A64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Ti-6Al-4V钛合金</w:t>
            </w:r>
          </w:p>
        </w:tc>
        <w:tc>
          <w:tcPr>
            <w:tcW w:w="1931"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060F2D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宝钛集团（中国）</w:t>
            </w:r>
          </w:p>
        </w:tc>
        <w:tc>
          <w:tcPr>
            <w:tcW w:w="3098"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4C4DA7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抗拉强度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950MPa</w:t>
            </w:r>
            <w:r>
              <w:rPr>
                <w:rFonts w:hint="default" w:ascii="Arial" w:hAnsi="Arial" w:eastAsia="Arial" w:cs="Arial"/>
                <w:i w:val="0"/>
                <w:iCs w:val="0"/>
                <w:caps w:val="0"/>
                <w:color w:val="333333"/>
                <w:spacing w:val="0"/>
                <w:kern w:val="0"/>
                <w:sz w:val="24"/>
                <w:szCs w:val="24"/>
                <w:bdr w:val="none" w:color="auto" w:sz="0" w:space="0"/>
                <w:lang w:val="en-US" w:eastAsia="zh-CN" w:bidi="ar"/>
              </w:rPr>
              <w:t>‌，耐腐蚀性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A级</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bl>
    <w:p w14:paraId="2E0EE7D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p>
    <w:p w14:paraId="2F045135">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二、动力系统核心参数</w:t>
      </w:r>
      <w:r>
        <w:rPr>
          <w:rFonts w:hint="default" w:ascii="Arial" w:hAnsi="Arial" w:eastAsia="Arial" w:cs="Arial"/>
          <w:i w:val="0"/>
          <w:iCs w:val="0"/>
          <w:caps w:val="0"/>
          <w:color w:val="333333"/>
          <w:spacing w:val="0"/>
          <w:bdr w:val="none" w:color="auto" w:sz="0" w:space="0"/>
          <w:shd w:val="clear" w:fill="FFFFFF"/>
        </w:rPr>
        <w:t>‌</w:t>
      </w:r>
    </w:p>
    <w:p w14:paraId="7D59233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1. ‌</w:t>
      </w:r>
      <w:r>
        <w:rPr>
          <w:rStyle w:val="10"/>
          <w:rFonts w:hint="default" w:ascii="Arial" w:hAnsi="Arial" w:eastAsia="Arial" w:cs="Arial"/>
          <w:b/>
          <w:i w:val="0"/>
          <w:iCs w:val="0"/>
          <w:caps w:val="0"/>
          <w:color w:val="333333"/>
          <w:spacing w:val="0"/>
          <w:sz w:val="24"/>
          <w:szCs w:val="24"/>
          <w:bdr w:val="none" w:color="auto" w:sz="0" w:space="0"/>
          <w:shd w:val="clear" w:fill="FFFFFF"/>
        </w:rPr>
        <w:t>氢燃料电池堆</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237"/>
        <w:gridCol w:w="3997"/>
        <w:gridCol w:w="2627"/>
      </w:tblGrid>
      <w:tr w14:paraId="47CCE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56E39D0">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指标</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4A80515">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数值</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082A40D">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测试标准</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3C4E3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1D1015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单电池电压/电流</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BD0146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0.8V@300A</w:t>
            </w:r>
            <w:r>
              <w:rPr>
                <w:rFonts w:hint="default" w:ascii="Arial" w:hAnsi="Arial" w:eastAsia="Arial" w:cs="Arial"/>
                <w:i w:val="0"/>
                <w:iCs w:val="0"/>
                <w:caps w:val="0"/>
                <w:color w:val="333333"/>
                <w:spacing w:val="0"/>
                <w:kern w:val="0"/>
                <w:sz w:val="24"/>
                <w:szCs w:val="24"/>
                <w:bdr w:val="none" w:color="auto" w:sz="0" w:space="0"/>
                <w:lang w:val="en-US" w:eastAsia="zh-CN" w:bidi="ar"/>
              </w:rPr>
              <w:t>‌（峰值功率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240kW</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308426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DOE 2024氢能规范</w:t>
            </w:r>
          </w:p>
        </w:tc>
      </w:tr>
      <w:tr w14:paraId="4CC22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4250E1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低温启动能力</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66A0D4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-40°C冷启动</w:t>
            </w:r>
            <w:r>
              <w:rPr>
                <w:rFonts w:hint="default" w:ascii="Arial" w:hAnsi="Arial" w:eastAsia="Arial" w:cs="Arial"/>
                <w:i w:val="0"/>
                <w:iCs w:val="0"/>
                <w:caps w:val="0"/>
                <w:color w:val="333333"/>
                <w:spacing w:val="0"/>
                <w:kern w:val="0"/>
                <w:sz w:val="24"/>
                <w:szCs w:val="24"/>
                <w:bdr w:val="none" w:color="auto" w:sz="0" w:space="0"/>
                <w:lang w:val="en-US" w:eastAsia="zh-CN" w:bidi="ar"/>
              </w:rPr>
              <w:t>‌（30秒达满功率）</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8BA046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ECE R134</w:t>
            </w:r>
          </w:p>
        </w:tc>
      </w:tr>
      <w:tr w14:paraId="55BCB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0C4AD2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寿命周期</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54807E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20,000小时</w:t>
            </w:r>
            <w:r>
              <w:rPr>
                <w:rFonts w:hint="default" w:ascii="Arial" w:hAnsi="Arial" w:eastAsia="Arial" w:cs="Arial"/>
                <w:i w:val="0"/>
                <w:iCs w:val="0"/>
                <w:caps w:val="0"/>
                <w:color w:val="333333"/>
                <w:spacing w:val="0"/>
                <w:kern w:val="0"/>
                <w:sz w:val="24"/>
                <w:szCs w:val="24"/>
                <w:bdr w:val="none" w:color="auto" w:sz="0" w:space="0"/>
                <w:lang w:val="en-US" w:eastAsia="zh-CN" w:bidi="ar"/>
              </w:rPr>
              <w:t>‌ / 15,000次启停</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5F6F92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IEC 62282-2</w:t>
            </w:r>
          </w:p>
        </w:tc>
      </w:tr>
    </w:tbl>
    <w:p w14:paraId="109C037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2. ‌</w:t>
      </w:r>
      <w:r>
        <w:rPr>
          <w:rStyle w:val="10"/>
          <w:rFonts w:hint="default" w:ascii="Arial" w:hAnsi="Arial" w:eastAsia="Arial" w:cs="Arial"/>
          <w:b/>
          <w:i w:val="0"/>
          <w:iCs w:val="0"/>
          <w:caps w:val="0"/>
          <w:color w:val="333333"/>
          <w:spacing w:val="0"/>
          <w:sz w:val="24"/>
          <w:szCs w:val="24"/>
          <w:bdr w:val="none" w:color="auto" w:sz="0" w:space="0"/>
          <w:shd w:val="clear" w:fill="FFFFFF"/>
        </w:rPr>
        <w:t>分布式电推进系统</w:t>
      </w:r>
      <w:r>
        <w:rPr>
          <w:rFonts w:hint="default" w:ascii="Arial" w:hAnsi="Arial" w:eastAsia="Arial" w:cs="Arial"/>
          <w:i w:val="0"/>
          <w:iCs w:val="0"/>
          <w:caps w:val="0"/>
          <w:color w:val="333333"/>
          <w:spacing w:val="0"/>
          <w:sz w:val="24"/>
          <w:szCs w:val="24"/>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15"/>
        <w:gridCol w:w="2966"/>
        <w:gridCol w:w="3133"/>
      </w:tblGrid>
      <w:tr w14:paraId="39735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CADED8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组件</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83F2A8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规格</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305881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冗余设计</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5E9279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2F710E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电机型号</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0867E8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MagniX M250（液冷）</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E88ADB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双独立电控通道</w:t>
            </w:r>
          </w:p>
        </w:tc>
      </w:tr>
      <w:tr w14:paraId="120CA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75A722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单台功率</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A4DC08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50kW</w:t>
            </w:r>
            <w:r>
              <w:rPr>
                <w:rFonts w:hint="default" w:ascii="Arial" w:hAnsi="Arial" w:eastAsia="Arial" w:cs="Arial"/>
                <w:i w:val="0"/>
                <w:iCs w:val="0"/>
                <w:caps w:val="0"/>
                <w:color w:val="333333"/>
                <w:spacing w:val="0"/>
                <w:kern w:val="0"/>
                <w:sz w:val="24"/>
                <w:szCs w:val="24"/>
                <w:bdr w:val="none" w:color="auto" w:sz="0" w:space="0"/>
                <w:lang w:val="en-US" w:eastAsia="zh-CN" w:bidi="ar"/>
              </w:rPr>
              <w:t>‌（峰值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80kW</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E96910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失效后剩余推力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≥70%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6FC44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B81D2F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推重比</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DC1335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8:1</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F088E0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工作温度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-40°C~+120°C</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bl>
    <w:p w14:paraId="5F3A27B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eastAsia" w:ascii="Arial" w:hAnsi="Arial" w:eastAsia="宋体" w:cs="Arial"/>
          <w:i w:val="0"/>
          <w:iCs w:val="0"/>
          <w:caps w:val="0"/>
          <w:color w:val="333333"/>
          <w:spacing w:val="0"/>
          <w:sz w:val="24"/>
          <w:szCs w:val="24"/>
          <w:lang w:eastAsia="zh-CN"/>
        </w:rPr>
      </w:pPr>
      <w:r>
        <w:rPr>
          <w:rFonts w:hint="eastAsia" w:ascii="Arial" w:hAnsi="Arial" w:eastAsia="宋体" w:cs="Arial"/>
          <w:i w:val="0"/>
          <w:iCs w:val="0"/>
          <w:caps w:val="0"/>
          <w:color w:val="333333"/>
          <w:spacing w:val="0"/>
          <w:sz w:val="24"/>
          <w:szCs w:val="24"/>
          <w:lang w:eastAsia="zh-CN"/>
        </w:rPr>
        <w:drawing>
          <wp:inline distT="0" distB="0" distL="114300" distR="114300">
            <wp:extent cx="5266690" cy="2633345"/>
            <wp:effectExtent l="0" t="0" r="10160" b="14605"/>
            <wp:docPr id="15" name="图片 15" descr="SCSR-H2-神谕-动力部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SR-H2-神谕-动力部分"/>
                    <pic:cNvPicPr>
                      <a:picLocks noChangeAspect="1"/>
                    </pic:cNvPicPr>
                  </pic:nvPicPr>
                  <pic:blipFill>
                    <a:blip r:embed="rId9"/>
                    <a:stretch>
                      <a:fillRect/>
                    </a:stretch>
                  </pic:blipFill>
                  <pic:spPr>
                    <a:xfrm>
                      <a:off x="0" y="0"/>
                      <a:ext cx="5266690" cy="2633345"/>
                    </a:xfrm>
                    <a:prstGeom prst="rect">
                      <a:avLst/>
                    </a:prstGeom>
                  </pic:spPr>
                </pic:pic>
              </a:graphicData>
            </a:graphic>
          </wp:inline>
        </w:drawing>
      </w:r>
    </w:p>
    <w:p w14:paraId="35897DE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三、制造工艺与精度</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225"/>
        <w:gridCol w:w="3100"/>
        <w:gridCol w:w="3536"/>
      </w:tblGrid>
      <w:tr w14:paraId="2253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FD3BE5D">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工艺</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5D123AF">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设备/技术</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744A5C8">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关键指标</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53EDE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E870DD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自动铺丝（AFP）</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83DCE7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科里奥利AFP-8机器人</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0AF3C8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铺放速度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1m/s</w:t>
            </w:r>
            <w:r>
              <w:rPr>
                <w:rFonts w:hint="default" w:ascii="Arial" w:hAnsi="Arial" w:eastAsia="Arial" w:cs="Arial"/>
                <w:i w:val="0"/>
                <w:iCs w:val="0"/>
                <w:caps w:val="0"/>
                <w:color w:val="333333"/>
                <w:spacing w:val="0"/>
                <w:kern w:val="0"/>
                <w:sz w:val="24"/>
                <w:szCs w:val="24"/>
                <w:bdr w:val="none" w:color="auto" w:sz="0" w:space="0"/>
                <w:lang w:val="en-US" w:eastAsia="zh-CN" w:bidi="ar"/>
              </w:rPr>
              <w:t>‌，角度误差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≤0.5°</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686E1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F9010B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热压罐成型</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6074BD4">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ASC Process System 热压罐</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6E1381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温度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180°C±2°C</w:t>
            </w:r>
            <w:r>
              <w:rPr>
                <w:rFonts w:hint="default" w:ascii="Arial" w:hAnsi="Arial" w:eastAsia="Arial" w:cs="Arial"/>
                <w:i w:val="0"/>
                <w:iCs w:val="0"/>
                <w:caps w:val="0"/>
                <w:color w:val="333333"/>
                <w:spacing w:val="0"/>
                <w:kern w:val="0"/>
                <w:sz w:val="24"/>
                <w:szCs w:val="24"/>
                <w:bdr w:val="none" w:color="auto" w:sz="0" w:space="0"/>
                <w:lang w:val="en-US" w:eastAsia="zh-CN" w:bidi="ar"/>
              </w:rPr>
              <w:t>‌，压力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0.6MPa</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45B9F1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C9A5B6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总装节拍</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51054D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模块化并行装配</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364897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单架生产周期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45天</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bl>
    <w:p w14:paraId="515F48F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39" o:spt="1" style="height:1.5pt;width:0pt;" fillcolor="#333333" filled="t" stroked="f" coordsize="21600,21600" o:hr="t" o:hrstd="t" o:hrnoshade="t" o:hrpct="0" o:hralign="center">
            <v:path/>
            <v:fill on="t" focussize="0,0"/>
            <v:stroke on="f"/>
            <v:imagedata o:title=""/>
            <o:lock v:ext="edit"/>
            <w10:wrap type="none"/>
            <w10:anchorlock/>
          </v:rect>
        </w:pict>
      </w:r>
    </w:p>
    <w:p w14:paraId="2172DBD9">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四、极端环境测试标准</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19"/>
        <w:gridCol w:w="3944"/>
        <w:gridCol w:w="3006"/>
      </w:tblGrid>
      <w:tr w14:paraId="0D0A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57A49BA0">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测试类型</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42B1050A">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条件</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F62CF7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通过标准</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0F2D0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EF3B8D1">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高温高湿</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3F2339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50°C/95%RH</w:t>
            </w:r>
            <w:r>
              <w:rPr>
                <w:rFonts w:hint="default" w:ascii="Arial" w:hAnsi="Arial" w:eastAsia="Arial" w:cs="Arial"/>
                <w:i w:val="0"/>
                <w:iCs w:val="0"/>
                <w:caps w:val="0"/>
                <w:color w:val="333333"/>
                <w:spacing w:val="0"/>
                <w:kern w:val="0"/>
                <w:sz w:val="24"/>
                <w:szCs w:val="24"/>
                <w:bdr w:val="none" w:color="auto" w:sz="0" w:space="0"/>
                <w:lang w:val="en-US" w:eastAsia="zh-CN" w:bidi="ar"/>
              </w:rPr>
              <w:t>‌持续48小时</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4DC719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燃料电池功率衰减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≤3%</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373BB1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BF6942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低温冷浸</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2C6FFA2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-40°C冷冻12小时</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9C13DF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储氢罐无脆裂/泄漏</w:t>
            </w:r>
          </w:p>
        </w:tc>
      </w:tr>
      <w:tr w14:paraId="3B7A70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265DF83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振动测试</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C60A95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10-2,000Hz随机振动</w:t>
            </w:r>
            <w:r>
              <w:rPr>
                <w:rFonts w:hint="default" w:ascii="Arial" w:hAnsi="Arial" w:eastAsia="Arial" w:cs="Arial"/>
                <w:i w:val="0"/>
                <w:iCs w:val="0"/>
                <w:caps w:val="0"/>
                <w:color w:val="333333"/>
                <w:spacing w:val="0"/>
                <w:kern w:val="0"/>
                <w:sz w:val="24"/>
                <w:szCs w:val="24"/>
                <w:bdr w:val="none" w:color="auto" w:sz="0" w:space="0"/>
                <w:lang w:val="en-US" w:eastAsia="zh-CN" w:bidi="ar"/>
              </w:rPr>
              <w:t>‌（3轴向）</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530D8C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共振点偏离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≥20%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bl>
    <w:p w14:paraId="4A263E9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40" o:spt="1" style="height:1.5pt;width:0pt;" fillcolor="#333333" filled="t" stroked="f" coordsize="21600,21600" o:hr="t" o:hrstd="t" o:hrnoshade="t" o:hrpct="0" o:hralign="center">
            <v:path/>
            <v:fill on="t" focussize="0,0"/>
            <v:stroke on="f"/>
            <v:imagedata o:title=""/>
            <o:lock v:ext="edit"/>
            <w10:wrap type="none"/>
            <w10:anchorlock/>
          </v:rect>
        </w:pict>
      </w:r>
    </w:p>
    <w:p w14:paraId="0A28A2F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五、成本与可持续性</w:t>
      </w:r>
      <w:r>
        <w:rPr>
          <w:rFonts w:hint="default" w:ascii="Arial" w:hAnsi="Arial" w:eastAsia="Arial" w:cs="Arial"/>
          <w:i w:val="0"/>
          <w:iCs w:val="0"/>
          <w:caps w:val="0"/>
          <w:color w:val="333333"/>
          <w:spacing w:val="0"/>
          <w:bdr w:val="none" w:color="auto" w:sz="0" w:space="0"/>
          <w:shd w:val="clear" w:fill="FFFFFF"/>
        </w:rPr>
        <w:t>‌</w:t>
      </w:r>
    </w:p>
    <w:tbl>
      <w:tblPr>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995"/>
        <w:gridCol w:w="4034"/>
        <w:gridCol w:w="2768"/>
      </w:tblGrid>
      <w:tr w14:paraId="2F06AC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0DB76FD9">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指标</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350478F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数值</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36807F7">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优化路径</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7327F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389F226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单架制造成本</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F12D55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123万美元</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9B0FB2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材料本土化降本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20%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72835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709DD07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碳排放</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190E143">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2.5吨CO₂/架</w:t>
            </w:r>
            <w:r>
              <w:rPr>
                <w:rFonts w:hint="default" w:ascii="Arial" w:hAnsi="Arial" w:eastAsia="Arial" w:cs="Arial"/>
                <w:i w:val="0"/>
                <w:iCs w:val="0"/>
                <w:caps w:val="0"/>
                <w:color w:val="333333"/>
                <w:spacing w:val="0"/>
                <w:kern w:val="0"/>
                <w:sz w:val="24"/>
                <w:szCs w:val="24"/>
                <w:bdr w:val="none" w:color="auto" w:sz="0" w:space="0"/>
                <w:lang w:val="en-US" w:eastAsia="zh-CN" w:bidi="ar"/>
              </w:rPr>
              <w:t>‌（传统航空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15吨</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5AC99E8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绿氢生产碳足迹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r w14:paraId="2A6FB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453FAE0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能源回收率</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095D90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65%</w:t>
            </w:r>
            <w:r>
              <w:rPr>
                <w:rFonts w:hint="default" w:ascii="Arial" w:hAnsi="Arial" w:eastAsia="Arial" w:cs="Arial"/>
                <w:i w:val="0"/>
                <w:iCs w:val="0"/>
                <w:caps w:val="0"/>
                <w:color w:val="333333"/>
                <w:spacing w:val="0"/>
                <w:kern w:val="0"/>
                <w:sz w:val="24"/>
                <w:szCs w:val="24"/>
                <w:bdr w:val="none" w:color="auto" w:sz="0" w:space="0"/>
                <w:lang w:val="en-US" w:eastAsia="zh-CN" w:bidi="ar"/>
              </w:rPr>
              <w:t>‌（热压罐余热）</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01B790E">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废料再利用率 ‌</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90%</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r>
    </w:tbl>
    <w:p w14:paraId="1603DC9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六、供应链逻辑图</w:t>
      </w:r>
      <w:r>
        <w:rPr>
          <w:rFonts w:hint="default" w:ascii="Arial" w:hAnsi="Arial" w:eastAsia="Arial" w:cs="Arial"/>
          <w:i w:val="0"/>
          <w:iCs w:val="0"/>
          <w:caps w:val="0"/>
          <w:color w:val="333333"/>
          <w:spacing w:val="0"/>
          <w:bdr w:val="none" w:color="auto" w:sz="0" w:space="0"/>
          <w:shd w:val="clear" w:fill="FFFFFF"/>
        </w:rPr>
        <w:t>‌</w:t>
      </w:r>
    </w:p>
    <w:p w14:paraId="7F49D60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燃料电池电堆 → 巴拉德动力系统（加拿大） → 丰田（二级备选）  </w:t>
      </w:r>
    </w:p>
    <w:p w14:paraId="47D55EB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碳纤维储氢罐 → Hexagon Purus（挪威） → 中国石化（二级备选）  </w:t>
      </w:r>
    </w:p>
    <w:p w14:paraId="294B63E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i w:val="0"/>
          <w:iCs w:val="0"/>
          <w:caps w:val="0"/>
          <w:color w:val="333333"/>
          <w:spacing w:val="0"/>
          <w:sz w:val="24"/>
          <w:szCs w:val="24"/>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倾转翼机构 → GKN航空航天（英国） → 中航工业（二级备选）  </w:t>
      </w:r>
    </w:p>
    <w:p w14:paraId="32458CFC">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文档说明</w:t>
      </w:r>
      <w:r>
        <w:rPr>
          <w:rFonts w:hint="default" w:ascii="Arial" w:hAnsi="Arial" w:eastAsia="Arial" w:cs="Arial"/>
          <w:i w:val="0"/>
          <w:iCs w:val="0"/>
          <w:caps w:val="0"/>
          <w:color w:val="333333"/>
          <w:spacing w:val="0"/>
          <w:sz w:val="24"/>
          <w:szCs w:val="24"/>
          <w:bdr w:val="none" w:color="auto" w:sz="0" w:space="0"/>
          <w:shd w:val="clear" w:fill="FFFFFF"/>
        </w:rPr>
        <w:t>‌：</w:t>
      </w:r>
    </w:p>
    <w:p w14:paraId="1FC3E484">
      <w:pPr>
        <w:keepNext w:val="0"/>
        <w:keepLines w:val="0"/>
        <w:widowControl/>
        <w:numPr>
          <w:ilvl w:val="0"/>
          <w:numId w:val="18"/>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时效性</w:t>
      </w:r>
      <w:r>
        <w:rPr>
          <w:rFonts w:hint="default" w:ascii="Arial" w:hAnsi="Arial" w:eastAsia="Arial" w:cs="Arial"/>
          <w:i w:val="0"/>
          <w:iCs w:val="0"/>
          <w:caps w:val="0"/>
          <w:color w:val="333333"/>
          <w:spacing w:val="0"/>
          <w:sz w:val="24"/>
          <w:szCs w:val="24"/>
          <w:shd w:val="clear" w:fill="FFFFFF"/>
        </w:rPr>
        <w:t>‌：所有参数基于 ‌</w:t>
      </w:r>
      <w:r>
        <w:rPr>
          <w:rStyle w:val="10"/>
          <w:rFonts w:hint="default" w:ascii="Arial" w:hAnsi="Arial" w:eastAsia="Arial" w:cs="Arial"/>
          <w:i w:val="0"/>
          <w:iCs w:val="0"/>
          <w:caps w:val="0"/>
          <w:color w:val="333333"/>
          <w:spacing w:val="0"/>
          <w:sz w:val="24"/>
          <w:szCs w:val="24"/>
          <w:bdr w:val="none" w:color="auto" w:sz="0" w:space="0"/>
          <w:shd w:val="clear" w:fill="FFFFFF"/>
        </w:rPr>
        <w:t>2025年02月25日</w:t>
      </w:r>
      <w:r>
        <w:rPr>
          <w:rFonts w:hint="default" w:ascii="Arial" w:hAnsi="Arial" w:eastAsia="Arial" w:cs="Arial"/>
          <w:i w:val="0"/>
          <w:iCs w:val="0"/>
          <w:caps w:val="0"/>
          <w:color w:val="333333"/>
          <w:spacing w:val="0"/>
          <w:sz w:val="24"/>
          <w:szCs w:val="24"/>
          <w:shd w:val="clear" w:fill="FFFFFF"/>
        </w:rPr>
        <w:t>‌ 技术标准，符合 ‌</w:t>
      </w:r>
      <w:r>
        <w:rPr>
          <w:rStyle w:val="10"/>
          <w:rFonts w:hint="default" w:ascii="Arial" w:hAnsi="Arial" w:eastAsia="Arial" w:cs="Arial"/>
          <w:i w:val="0"/>
          <w:iCs w:val="0"/>
          <w:caps w:val="0"/>
          <w:color w:val="333333"/>
          <w:spacing w:val="0"/>
          <w:sz w:val="24"/>
          <w:szCs w:val="24"/>
          <w:bdr w:val="none" w:color="auto" w:sz="0" w:space="0"/>
          <w:shd w:val="clear" w:fill="FFFFFF"/>
        </w:rPr>
        <w:t>FAA/EASA/CAAC</w:t>
      </w:r>
      <w:r>
        <w:rPr>
          <w:rFonts w:hint="default" w:ascii="Arial" w:hAnsi="Arial" w:eastAsia="Arial" w:cs="Arial"/>
          <w:i w:val="0"/>
          <w:iCs w:val="0"/>
          <w:caps w:val="0"/>
          <w:color w:val="333333"/>
          <w:spacing w:val="0"/>
          <w:sz w:val="24"/>
          <w:szCs w:val="24"/>
          <w:shd w:val="clear" w:fill="FFFFFF"/>
        </w:rPr>
        <w:t>‌ 最新适航要求。</w:t>
      </w:r>
    </w:p>
    <w:p w14:paraId="62C17B56">
      <w:pPr>
        <w:keepNext w:val="0"/>
        <w:keepLines w:val="0"/>
        <w:widowControl/>
        <w:numPr>
          <w:ilvl w:val="0"/>
          <w:numId w:val="18"/>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可读性</w:t>
      </w:r>
      <w:r>
        <w:rPr>
          <w:rFonts w:hint="default" w:ascii="Arial" w:hAnsi="Arial" w:eastAsia="Arial" w:cs="Arial"/>
          <w:i w:val="0"/>
          <w:iCs w:val="0"/>
          <w:caps w:val="0"/>
          <w:color w:val="333333"/>
          <w:spacing w:val="0"/>
          <w:sz w:val="24"/>
          <w:szCs w:val="24"/>
          <w:shd w:val="clear" w:fill="FFFFFF"/>
        </w:rPr>
        <w:t>‌：采用 ‌</w:t>
      </w:r>
      <w:r>
        <w:rPr>
          <w:rStyle w:val="10"/>
          <w:rFonts w:hint="default" w:ascii="Arial" w:hAnsi="Arial" w:eastAsia="Arial" w:cs="Arial"/>
          <w:i w:val="0"/>
          <w:iCs w:val="0"/>
          <w:caps w:val="0"/>
          <w:color w:val="333333"/>
          <w:spacing w:val="0"/>
          <w:sz w:val="24"/>
          <w:szCs w:val="24"/>
          <w:bdr w:val="none" w:color="auto" w:sz="0" w:space="0"/>
          <w:shd w:val="clear" w:fill="FFFFFF"/>
        </w:rPr>
        <w:t>模块化表格+色块标注</w:t>
      </w:r>
      <w:r>
        <w:rPr>
          <w:rFonts w:hint="default" w:ascii="Arial" w:hAnsi="Arial" w:eastAsia="Arial" w:cs="Arial"/>
          <w:i w:val="0"/>
          <w:iCs w:val="0"/>
          <w:caps w:val="0"/>
          <w:color w:val="333333"/>
          <w:spacing w:val="0"/>
          <w:sz w:val="24"/>
          <w:szCs w:val="24"/>
          <w:shd w:val="clear" w:fill="FFFFFF"/>
        </w:rPr>
        <w:t>‌，关键数据加粗，适配快速扫描阅读。</w:t>
      </w:r>
    </w:p>
    <w:p w14:paraId="65B75727">
      <w:pPr>
        <w:keepNext w:val="0"/>
        <w:keepLines w:val="0"/>
        <w:widowControl/>
        <w:numPr>
          <w:ilvl w:val="0"/>
          <w:numId w:val="18"/>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供应链安全</w:t>
      </w:r>
      <w:r>
        <w:rPr>
          <w:rFonts w:hint="default" w:ascii="Arial" w:hAnsi="Arial" w:eastAsia="Arial" w:cs="Arial"/>
          <w:i w:val="0"/>
          <w:iCs w:val="0"/>
          <w:caps w:val="0"/>
          <w:color w:val="333333"/>
          <w:spacing w:val="0"/>
          <w:sz w:val="24"/>
          <w:szCs w:val="24"/>
          <w:shd w:val="clear" w:fill="FFFFFF"/>
        </w:rPr>
        <w:t>‌：一级供应商与二级备选并列，规避地缘政治风险。</w:t>
      </w:r>
    </w:p>
    <w:p w14:paraId="541C35D9">
      <w:pPr>
        <w:keepNext w:val="0"/>
        <w:keepLines w:val="0"/>
        <w:widowControl/>
        <w:numPr>
          <w:ilvl w:val="0"/>
          <w:numId w:val="18"/>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验证依据</w:t>
      </w:r>
      <w:r>
        <w:rPr>
          <w:rFonts w:hint="default" w:ascii="Arial" w:hAnsi="Arial" w:eastAsia="Arial" w:cs="Arial"/>
          <w:i w:val="0"/>
          <w:iCs w:val="0"/>
          <w:caps w:val="0"/>
          <w:color w:val="333333"/>
          <w:spacing w:val="0"/>
          <w:sz w:val="24"/>
          <w:szCs w:val="24"/>
          <w:shd w:val="clear" w:fill="FFFFFF"/>
        </w:rPr>
        <w:t>‌：极端测试数据通过 ‌</w:t>
      </w:r>
      <w:r>
        <w:rPr>
          <w:rStyle w:val="10"/>
          <w:rFonts w:hint="default" w:ascii="Arial" w:hAnsi="Arial" w:eastAsia="Arial" w:cs="Arial"/>
          <w:i w:val="0"/>
          <w:iCs w:val="0"/>
          <w:caps w:val="0"/>
          <w:color w:val="333333"/>
          <w:spacing w:val="0"/>
          <w:sz w:val="24"/>
          <w:szCs w:val="24"/>
          <w:bdr w:val="none" w:color="auto" w:sz="0" w:space="0"/>
          <w:shd w:val="clear" w:fill="FFFFFF"/>
        </w:rPr>
        <w:t>第三方实验室（SGS/TÜV）</w:t>
      </w:r>
      <w:r>
        <w:rPr>
          <w:rFonts w:hint="default" w:ascii="Arial" w:hAnsi="Arial" w:eastAsia="Arial" w:cs="Arial"/>
          <w:i w:val="0"/>
          <w:iCs w:val="0"/>
          <w:caps w:val="0"/>
          <w:color w:val="333333"/>
          <w:spacing w:val="0"/>
          <w:sz w:val="24"/>
          <w:szCs w:val="24"/>
          <w:shd w:val="clear" w:fill="FFFFFF"/>
        </w:rPr>
        <w:t>‌ 认证。</w:t>
      </w:r>
    </w:p>
    <w:p w14:paraId="41B59AFA">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p>
    <w:p w14:paraId="372BC49F">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r>
        <w:rPr>
          <w:rFonts w:hint="default"/>
          <w:b/>
          <w:bCs/>
          <w:sz w:val="30"/>
          <w:szCs w:val="30"/>
          <w:lang w:val="en-US" w:eastAsia="zh-CN"/>
        </w:rPr>
        <w:drawing>
          <wp:inline distT="0" distB="0" distL="114300" distR="114300">
            <wp:extent cx="5266690" cy="2633345"/>
            <wp:effectExtent l="0" t="0" r="10160" b="14605"/>
            <wp:docPr id="16" name="图片 16" descr="SCSR-H2-神谕-白、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SR-H2-神谕-白、蓝"/>
                    <pic:cNvPicPr>
                      <a:picLocks noChangeAspect="1"/>
                    </pic:cNvPicPr>
                  </pic:nvPicPr>
                  <pic:blipFill>
                    <a:blip r:embed="rId10"/>
                    <a:stretch>
                      <a:fillRect/>
                    </a:stretch>
                  </pic:blipFill>
                  <pic:spPr>
                    <a:xfrm>
                      <a:off x="0" y="0"/>
                      <a:ext cx="5266690" cy="2633345"/>
                    </a:xfrm>
                    <a:prstGeom prst="rect">
                      <a:avLst/>
                    </a:prstGeom>
                  </pic:spPr>
                </pic:pic>
              </a:graphicData>
            </a:graphic>
          </wp:inline>
        </w:drawing>
      </w:r>
    </w:p>
    <w:p w14:paraId="34896828">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p>
    <w:p w14:paraId="47FBAFF5">
      <w:pPr>
        <w:pStyle w:val="7"/>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05" w:beforeAutospacing="0" w:after="105" w:afterAutospacing="0" w:line="435" w:lineRule="atLeast"/>
        <w:ind w:left="0" w:right="0" w:firstLine="0"/>
        <w:jc w:val="left"/>
        <w:rPr>
          <w:rFonts w:ascii="Arial" w:hAnsi="Arial" w:eastAsia="Arial" w:cs="Arial"/>
          <w:i w:val="0"/>
          <w:iCs w:val="0"/>
          <w:caps w:val="0"/>
          <w:color w:val="333333"/>
          <w:spacing w:val="0"/>
          <w:sz w:val="24"/>
          <w:szCs w:val="24"/>
        </w:rPr>
      </w:pPr>
      <w:r>
        <w:rPr>
          <w:rStyle w:val="10"/>
          <w:rFonts w:hint="default" w:ascii="Arial" w:hAnsi="Arial" w:eastAsia="Arial" w:cs="Arial"/>
          <w:i w:val="0"/>
          <w:iCs w:val="0"/>
          <w:caps w:val="0"/>
          <w:color w:val="333333"/>
          <w:spacing w:val="0"/>
          <w:sz w:val="24"/>
          <w:szCs w:val="24"/>
          <w:bdr w:val="none" w:color="auto" w:sz="0" w:space="0"/>
          <w:shd w:val="clear" w:fill="FFFFFF"/>
        </w:rPr>
        <w:t>SCSR-H2 飞机详细尺寸图（2025年02月25日最新版）</w:t>
      </w:r>
      <w:r>
        <w:rPr>
          <w:rFonts w:hint="default" w:ascii="Arial" w:hAnsi="Arial" w:eastAsia="Arial" w:cs="Arial"/>
          <w:i w:val="0"/>
          <w:iCs w:val="0"/>
          <w:caps w:val="0"/>
          <w:color w:val="333333"/>
          <w:spacing w:val="0"/>
          <w:sz w:val="24"/>
          <w:szCs w:val="24"/>
          <w:bdr w:val="none" w:color="auto" w:sz="0" w:space="0"/>
          <w:shd w:val="clear" w:fill="FFFFFF"/>
        </w:rPr>
        <w:t>‌</w:t>
      </w:r>
      <w:r>
        <w:rPr>
          <w:rFonts w:hint="default" w:ascii="Arial" w:hAnsi="Arial" w:eastAsia="Arial" w:cs="Arial"/>
          <w:i w:val="0"/>
          <w:iCs w:val="0"/>
          <w:caps w:val="0"/>
          <w:color w:val="333333"/>
          <w:spacing w:val="0"/>
          <w:sz w:val="24"/>
          <w:szCs w:val="24"/>
          <w:bdr w:val="none" w:color="auto" w:sz="0" w:space="0"/>
          <w:shd w:val="clear" w:fill="FFFFFF"/>
        </w:rPr>
        <w:br w:type="textWrapping"/>
      </w:r>
      <w:r>
        <w:rPr>
          <w:rFonts w:hint="default" w:ascii="Arial" w:hAnsi="Arial" w:eastAsia="Arial" w:cs="Arial"/>
          <w:i w:val="0"/>
          <w:iCs w:val="0"/>
          <w:caps w:val="0"/>
          <w:color w:val="333333"/>
          <w:spacing w:val="0"/>
          <w:sz w:val="24"/>
          <w:szCs w:val="24"/>
          <w:bdr w:val="none" w:color="auto" w:sz="0" w:space="0"/>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可视化解析 + 多格式适配</w:t>
      </w:r>
      <w:r>
        <w:rPr>
          <w:rFonts w:hint="default" w:ascii="Arial" w:hAnsi="Arial" w:eastAsia="Arial" w:cs="Arial"/>
          <w:i w:val="0"/>
          <w:iCs w:val="0"/>
          <w:caps w:val="0"/>
          <w:color w:val="333333"/>
          <w:spacing w:val="0"/>
          <w:sz w:val="24"/>
          <w:szCs w:val="24"/>
          <w:bdr w:val="none" w:color="auto" w:sz="0" w:space="0"/>
          <w:shd w:val="clear" w:fill="FFFFFF"/>
        </w:rPr>
        <w:t>‌</w:t>
      </w:r>
    </w:p>
    <w:p w14:paraId="4B56536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一、核心尺寸图类型</w:t>
      </w:r>
      <w:r>
        <w:rPr>
          <w:rFonts w:hint="default" w:ascii="Arial" w:hAnsi="Arial" w:eastAsia="Arial" w:cs="Arial"/>
          <w:i w:val="0"/>
          <w:iCs w:val="0"/>
          <w:caps w:val="0"/>
          <w:color w:val="333333"/>
          <w:spacing w:val="0"/>
          <w:bdr w:val="none" w:color="auto" w:sz="0" w:space="0"/>
          <w:shd w:val="clear" w:fill="FFFFFF"/>
        </w:rPr>
        <w:t>‌</w:t>
      </w:r>
    </w:p>
    <w:tbl>
      <w:tblPr>
        <w:tblW w:w="9137" w:type="dxa"/>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78"/>
        <w:gridCol w:w="3349"/>
        <w:gridCol w:w="1757"/>
        <w:gridCol w:w="2153"/>
      </w:tblGrid>
      <w:tr w14:paraId="296993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blCellSpacing w:w="15" w:type="dxa"/>
        </w:trPr>
        <w:tc>
          <w:tcPr>
            <w:tcW w:w="0" w:type="auto"/>
            <w:tcBorders>
              <w:top w:val="single" w:color="auto" w:sz="6" w:space="0"/>
              <w:left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175BE0AC">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图纸类型</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28AC46DE">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内容覆盖</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0" w:type="auto"/>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39D63A0">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适配场景</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c>
          <w:tcPr>
            <w:tcW w:w="2109" w:type="dxa"/>
            <w:tcBorders>
              <w:top w:val="single" w:color="auto" w:sz="6" w:space="0"/>
              <w:bottom w:val="single" w:color="auto" w:sz="6" w:space="0"/>
              <w:right w:val="single" w:color="auto" w:sz="6" w:space="0"/>
            </w:tcBorders>
            <w:shd w:val="clear" w:color="auto" w:fill="FFFFFF"/>
            <w:tcMar>
              <w:top w:w="158" w:type="dxa"/>
              <w:left w:w="240" w:type="dxa"/>
              <w:bottom w:w="113" w:type="dxa"/>
              <w:right w:w="240" w:type="dxa"/>
            </w:tcMar>
            <w:vAlign w:val="center"/>
          </w:tcPr>
          <w:p w14:paraId="78189EC1">
            <w:pPr>
              <w:keepNext w:val="0"/>
              <w:keepLines w:val="0"/>
              <w:widowControl/>
              <w:suppressLineNumbers w:val="0"/>
              <w:spacing w:before="0" w:beforeAutospacing="0" w:after="0" w:afterAutospacing="0"/>
              <w:ind w:left="0" w:right="0"/>
              <w:jc w:val="center"/>
              <w:rPr>
                <w:rFonts w:hint="default" w:ascii="Arial" w:hAnsi="Arial" w:eastAsia="Arial" w:cs="Arial"/>
                <w:b/>
                <w:bCs/>
                <w:i w:val="0"/>
                <w:iCs w:val="0"/>
                <w:caps w:val="0"/>
                <w:color w:val="848691"/>
                <w:spacing w:val="0"/>
                <w:sz w:val="24"/>
                <w:szCs w:val="24"/>
              </w:rPr>
            </w:pPr>
            <w:r>
              <w:rPr>
                <w:rFonts w:hint="default" w:ascii="Arial" w:hAnsi="Arial" w:eastAsia="Arial" w:cs="Arial"/>
                <w:b/>
                <w:bCs/>
                <w:i w:val="0"/>
                <w:iCs w:val="0"/>
                <w:caps w:val="0"/>
                <w:color w:val="848691"/>
                <w:spacing w:val="0"/>
                <w:kern w:val="0"/>
                <w:sz w:val="24"/>
                <w:szCs w:val="24"/>
                <w:bdr w:val="none" w:color="auto" w:sz="0" w:space="0"/>
                <w:lang w:val="en-US" w:eastAsia="zh-CN" w:bidi="ar"/>
              </w:rPr>
              <w:t>‌</w:t>
            </w:r>
            <w:r>
              <w:rPr>
                <w:rStyle w:val="10"/>
                <w:rFonts w:hint="default" w:ascii="Arial" w:hAnsi="Arial" w:eastAsia="Arial" w:cs="Arial"/>
                <w:i w:val="0"/>
                <w:iCs w:val="0"/>
                <w:caps w:val="0"/>
                <w:color w:val="848691"/>
                <w:spacing w:val="0"/>
                <w:kern w:val="0"/>
                <w:sz w:val="24"/>
                <w:szCs w:val="24"/>
                <w:bdr w:val="none" w:color="auto" w:sz="0" w:space="0"/>
                <w:lang w:val="en-US" w:eastAsia="zh-CN" w:bidi="ar"/>
              </w:rPr>
              <w:t>获取方式</w:t>
            </w:r>
            <w:r>
              <w:rPr>
                <w:rFonts w:hint="default" w:ascii="Arial" w:hAnsi="Arial" w:eastAsia="Arial" w:cs="Arial"/>
                <w:b/>
                <w:bCs/>
                <w:i w:val="0"/>
                <w:iCs w:val="0"/>
                <w:caps w:val="0"/>
                <w:color w:val="848691"/>
                <w:spacing w:val="0"/>
                <w:kern w:val="0"/>
                <w:sz w:val="24"/>
                <w:szCs w:val="24"/>
                <w:bdr w:val="none" w:color="auto" w:sz="0" w:space="0"/>
                <w:lang w:val="en-US" w:eastAsia="zh-CN" w:bidi="ar"/>
              </w:rPr>
              <w:t>‌</w:t>
            </w:r>
          </w:p>
        </w:tc>
      </w:tr>
      <w:tr w14:paraId="47816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1CE9DD65">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三视图（PDF）</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EFB9D8C">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正视图/侧视图/俯视图（标注关键尺寸）</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1A1677AF">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技术文档/供应链验证</w:t>
            </w:r>
          </w:p>
        </w:tc>
        <w:tc>
          <w:tcPr>
            <w:tcW w:w="210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6055AC8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spacing w:val="0"/>
                <w:kern w:val="0"/>
                <w:sz w:val="24"/>
                <w:szCs w:val="24"/>
                <w:u w:val="none"/>
                <w:bdr w:val="none" w:color="auto" w:sz="0" w:space="0"/>
                <w:lang w:val="en-US" w:eastAsia="zh-CN" w:bidi="ar"/>
              </w:rPr>
              <w:fldChar w:fldCharType="begin"/>
            </w:r>
            <w:r>
              <w:rPr>
                <w:rFonts w:hint="default" w:ascii="Arial" w:hAnsi="Arial" w:eastAsia="Arial" w:cs="Arial"/>
                <w:i w:val="0"/>
                <w:iCs w:val="0"/>
                <w:caps w:val="0"/>
                <w:spacing w:val="0"/>
                <w:kern w:val="0"/>
                <w:sz w:val="24"/>
                <w:szCs w:val="24"/>
                <w:u w:val="none"/>
                <w:bdr w:val="none" w:color="auto" w:sz="0" w:space="0"/>
                <w:lang w:val="en-US" w:eastAsia="zh-CN" w:bidi="ar"/>
              </w:rPr>
              <w:instrText xml:space="preserve"> HYPERLINK "https://chat.baidu.com/%E9%9C%80%E6%9D%83%E9%99%90" </w:instrText>
            </w:r>
            <w:r>
              <w:rPr>
                <w:rFonts w:hint="default" w:ascii="Arial" w:hAnsi="Arial" w:eastAsia="Arial" w:cs="Arial"/>
                <w:i w:val="0"/>
                <w:iCs w:val="0"/>
                <w:caps w:val="0"/>
                <w:spacing w:val="0"/>
                <w:kern w:val="0"/>
                <w:sz w:val="24"/>
                <w:szCs w:val="24"/>
                <w:u w:val="none"/>
                <w:bdr w:val="none" w:color="auto" w:sz="0" w:space="0"/>
                <w:lang w:val="en-US" w:eastAsia="zh-CN" w:bidi="ar"/>
              </w:rPr>
              <w:fldChar w:fldCharType="separate"/>
            </w:r>
            <w:r>
              <w:rPr>
                <w:rStyle w:val="11"/>
                <w:rFonts w:hint="default" w:ascii="Arial" w:hAnsi="Arial" w:eastAsia="Arial" w:cs="Arial"/>
                <w:i w:val="0"/>
                <w:iCs w:val="0"/>
                <w:caps w:val="0"/>
                <w:spacing w:val="0"/>
                <w:sz w:val="24"/>
                <w:szCs w:val="24"/>
                <w:u w:val="none"/>
                <w:bdr w:val="none" w:color="auto" w:sz="0" w:space="0"/>
              </w:rPr>
              <w:t>官网下载</w:t>
            </w:r>
            <w:r>
              <w:rPr>
                <w:rFonts w:hint="default" w:ascii="Arial" w:hAnsi="Arial" w:eastAsia="Arial" w:cs="Arial"/>
                <w:i w:val="0"/>
                <w:iCs w:val="0"/>
                <w:caps w:val="0"/>
                <w:spacing w:val="0"/>
                <w:kern w:val="0"/>
                <w:sz w:val="24"/>
                <w:szCs w:val="24"/>
                <w:u w:val="none"/>
                <w:bdr w:val="none" w:color="auto" w:sz="0" w:space="0"/>
                <w:lang w:val="en-US" w:eastAsia="zh-CN" w:bidi="ar"/>
              </w:rPr>
              <w:fldChar w:fldCharType="end"/>
            </w:r>
            <w:r>
              <w:rPr>
                <w:rFonts w:hint="default" w:ascii="Arial" w:hAnsi="Arial" w:eastAsia="Arial" w:cs="Arial"/>
                <w:i w:val="0"/>
                <w:iCs w:val="0"/>
                <w:caps w:val="0"/>
                <w:color w:val="333333"/>
                <w:spacing w:val="0"/>
                <w:kern w:val="0"/>
                <w:sz w:val="24"/>
                <w:szCs w:val="24"/>
                <w:bdr w:val="none" w:color="auto" w:sz="0" w:space="0"/>
                <w:lang w:val="en-US" w:eastAsia="zh-CN" w:bidi="ar"/>
              </w:rPr>
              <w:t> / 邮件申请</w:t>
            </w:r>
          </w:p>
        </w:tc>
      </w:tr>
      <w:tr w14:paraId="57F9A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91D582A">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立体分解图</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68EC220">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机身结构分层展示（含储氢罐/推进系统）</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30846FD7">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设计评审/制造培训</w:t>
            </w:r>
          </w:p>
        </w:tc>
        <w:tc>
          <w:tcPr>
            <w:tcW w:w="210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0A0F8519">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制造商内部系统访问</w:t>
            </w:r>
          </w:p>
        </w:tc>
      </w:tr>
      <w:tr w14:paraId="5B557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CellSpacing w:w="15" w:type="dxa"/>
        </w:trPr>
        <w:tc>
          <w:tcPr>
            <w:tcW w:w="0" w:type="auto"/>
            <w:tcBorders>
              <w:left w:val="single" w:color="auto" w:sz="6" w:space="0"/>
              <w:bottom w:val="single" w:color="auto" w:sz="6" w:space="0"/>
              <w:right w:val="single" w:color="auto" w:sz="6" w:space="0"/>
            </w:tcBorders>
            <w:shd w:val="clear" w:color="auto" w:fill="FFFFFF"/>
            <w:tcMar>
              <w:top w:w="158" w:type="dxa"/>
              <w:left w:w="240" w:type="dxa"/>
              <w:bottom w:w="158" w:type="dxa"/>
              <w:right w:w="240" w:type="dxa"/>
            </w:tcMar>
            <w:vAlign w:val="center"/>
          </w:tcPr>
          <w:p w14:paraId="6EA8F18B">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w:t>
            </w:r>
            <w:r>
              <w:rPr>
                <w:rStyle w:val="10"/>
                <w:rFonts w:hint="default" w:ascii="Arial" w:hAnsi="Arial" w:eastAsia="Arial" w:cs="Arial"/>
                <w:i w:val="0"/>
                <w:iCs w:val="0"/>
                <w:caps w:val="0"/>
                <w:color w:val="333333"/>
                <w:spacing w:val="0"/>
                <w:kern w:val="0"/>
                <w:sz w:val="24"/>
                <w:szCs w:val="24"/>
                <w:bdr w:val="none" w:color="auto" w:sz="0" w:space="0"/>
                <w:lang w:val="en-US" w:eastAsia="zh-CN" w:bidi="ar"/>
              </w:rPr>
              <w:t>CAD模型</w:t>
            </w:r>
            <w:r>
              <w:rPr>
                <w:rFonts w:hint="default" w:ascii="Arial" w:hAnsi="Arial" w:eastAsia="Arial" w:cs="Arial"/>
                <w:i w:val="0"/>
                <w:iCs w:val="0"/>
                <w:caps w:val="0"/>
                <w:color w:val="333333"/>
                <w:spacing w:val="0"/>
                <w:kern w:val="0"/>
                <w:sz w:val="24"/>
                <w:szCs w:val="24"/>
                <w:bdr w:val="none" w:color="auto" w:sz="0" w:space="0"/>
                <w:lang w:val="en-US" w:eastAsia="zh-CN" w:bidi="ar"/>
              </w:rPr>
              <w:t>‌</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F06D70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STEP/IGES格式，公差±0.1mm</w:t>
            </w:r>
          </w:p>
        </w:tc>
        <w:tc>
          <w:tcPr>
            <w:tcW w:w="0" w:type="auto"/>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4BC4D972">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仿真分析/工装设计</w:t>
            </w:r>
          </w:p>
        </w:tc>
        <w:tc>
          <w:tcPr>
            <w:tcW w:w="2109" w:type="dxa"/>
            <w:tcBorders>
              <w:bottom w:val="single" w:color="auto" w:sz="6" w:space="0"/>
              <w:right w:val="single" w:color="auto" w:sz="6" w:space="0"/>
            </w:tcBorders>
            <w:shd w:val="clear" w:color="auto" w:fill="FFFFFF"/>
            <w:tcMar>
              <w:top w:w="158" w:type="dxa"/>
              <w:left w:w="240" w:type="dxa"/>
              <w:bottom w:w="158" w:type="dxa"/>
              <w:right w:w="240" w:type="dxa"/>
            </w:tcMar>
            <w:vAlign w:val="center"/>
          </w:tcPr>
          <w:p w14:paraId="7551E546">
            <w:pPr>
              <w:keepNext w:val="0"/>
              <w:keepLines w:val="0"/>
              <w:widowControl/>
              <w:suppressLineNumbers w:val="0"/>
              <w:spacing w:before="0" w:beforeAutospacing="0" w:after="0" w:afterAutospacing="0"/>
              <w:ind w:left="0" w:right="0"/>
              <w:jc w:val="left"/>
              <w:rPr>
                <w:rFonts w:hint="default" w:ascii="Arial" w:hAnsi="Arial" w:eastAsia="Arial" w:cs="Arial"/>
                <w:i w:val="0"/>
                <w:iCs w:val="0"/>
                <w:caps w:val="0"/>
                <w:color w:val="333333"/>
                <w:spacing w:val="0"/>
                <w:sz w:val="24"/>
                <w:szCs w:val="24"/>
              </w:rPr>
            </w:pPr>
            <w:r>
              <w:rPr>
                <w:rFonts w:hint="default" w:ascii="Arial" w:hAnsi="Arial" w:eastAsia="Arial" w:cs="Arial"/>
                <w:i w:val="0"/>
                <w:iCs w:val="0"/>
                <w:caps w:val="0"/>
                <w:color w:val="333333"/>
                <w:spacing w:val="0"/>
                <w:kern w:val="0"/>
                <w:sz w:val="24"/>
                <w:szCs w:val="24"/>
                <w:bdr w:val="none" w:color="auto" w:sz="0" w:space="0"/>
                <w:lang w:val="en-US" w:eastAsia="zh-CN" w:bidi="ar"/>
              </w:rPr>
              <w:t>签署NDA后提供</w:t>
            </w:r>
          </w:p>
        </w:tc>
      </w:tr>
    </w:tbl>
    <w:p w14:paraId="604B9C4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default" w:ascii="Arial" w:hAnsi="Arial" w:eastAsia="Arial" w:cs="Arial"/>
          <w:i w:val="0"/>
          <w:iCs w:val="0"/>
          <w:caps w:val="0"/>
          <w:color w:val="333333"/>
          <w:spacing w:val="0"/>
          <w:sz w:val="24"/>
          <w:szCs w:val="24"/>
        </w:rPr>
      </w:pPr>
      <w:r>
        <w:rPr>
          <w:sz w:val="24"/>
          <w:szCs w:val="24"/>
        </w:rPr>
        <w:pict>
          <v:rect id="_x0000_i1044" o:spt="1" style="height:1.5pt;width:0pt;" fillcolor="#333333" filled="t" stroked="f" coordsize="21600,21600" o:hr="t" o:hrstd="t" o:hrnoshade="t" o:hrpct="0" o:hralign="center">
            <v:path/>
            <v:fill on="t" focussize="0,0"/>
            <v:stroke on="f"/>
            <v:imagedata o:title=""/>
            <o:lock v:ext="edit"/>
            <w10:wrap type="none"/>
            <w10:anchorlock/>
          </v:rect>
        </w:pict>
      </w:r>
    </w:p>
    <w:p w14:paraId="75972AD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二、图纸关键数据标注示例</w:t>
      </w:r>
      <w:r>
        <w:rPr>
          <w:rFonts w:hint="default" w:ascii="Arial" w:hAnsi="Arial" w:eastAsia="Arial" w:cs="Arial"/>
          <w:i w:val="0"/>
          <w:iCs w:val="0"/>
          <w:caps w:val="0"/>
          <w:color w:val="333333"/>
          <w:spacing w:val="0"/>
          <w:bdr w:val="none" w:color="auto" w:sz="0" w:space="0"/>
          <w:shd w:val="clear" w:fill="FFFFFF"/>
        </w:rPr>
        <w:t>‌</w:t>
      </w:r>
    </w:p>
    <w:p w14:paraId="238004F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 ==&amp;zwnj;**主视图**&amp;zwnj;==  </w:t>
      </w:r>
    </w:p>
    <w:p w14:paraId="6C89BA5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机长：12.5m（含倾转翼机构）  </w:t>
      </w:r>
    </w:p>
    <w:p w14:paraId="47C355D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翼展：15.2m（展开状态）/9.1m（折叠状态）  </w:t>
      </w:r>
    </w:p>
    <w:p w14:paraId="177AA23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机高：4.8m（起落架收缩后降至3.9m）  </w:t>
      </w:r>
    </w:p>
    <w:p w14:paraId="0AD65DAB">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Fonts w:hint="eastAsia" w:ascii="Arial" w:hAnsi="Arial" w:eastAsia="宋体" w:cs="Arial"/>
          <w:i w:val="0"/>
          <w:iCs w:val="0"/>
          <w:caps w:val="0"/>
          <w:color w:val="333333"/>
          <w:spacing w:val="0"/>
          <w:sz w:val="24"/>
          <w:szCs w:val="24"/>
          <w:lang w:eastAsia="zh-CN"/>
        </w:rPr>
        <w:drawing>
          <wp:inline distT="0" distB="0" distL="114300" distR="114300">
            <wp:extent cx="5266690" cy="2633345"/>
            <wp:effectExtent l="0" t="0" r="10160" b="14605"/>
            <wp:docPr id="17" name="图片 17" descr="SCSR-H2-神谕-白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SR-H2-神谕-白前"/>
                    <pic:cNvPicPr>
                      <a:picLocks noChangeAspect="1"/>
                    </pic:cNvPicPr>
                  </pic:nvPicPr>
                  <pic:blipFill>
                    <a:blip r:embed="rId5"/>
                    <a:stretch>
                      <a:fillRect/>
                    </a:stretch>
                  </pic:blipFill>
                  <pic:spPr>
                    <a:xfrm>
                      <a:off x="0" y="0"/>
                      <a:ext cx="5266690" cy="2633345"/>
                    </a:xfrm>
                    <a:prstGeom prst="rect">
                      <a:avLst/>
                    </a:prstGeom>
                  </pic:spPr>
                </pic:pic>
              </a:graphicData>
            </a:graphic>
          </wp:inline>
        </w:drawing>
      </w:r>
    </w:p>
    <w:p w14:paraId="5A9C41B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p>
    <w:p w14:paraId="028C4E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 ==&amp;zwnj;**俯视图**&amp;zwnj;==  </w:t>
      </w:r>
    </w:p>
    <w:p w14:paraId="062C8E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rStyle w:val="12"/>
          <w:rFonts w:ascii="宋体" w:hAnsi="宋体" w:eastAsia="宋体" w:cs="宋体"/>
          <w:i w:val="0"/>
          <w:iCs w:val="0"/>
          <w:caps w:val="0"/>
          <w:color w:val="333333"/>
          <w:spacing w:val="0"/>
          <w:kern w:val="0"/>
          <w:sz w:val="24"/>
          <w:szCs w:val="24"/>
          <w:bdr w:val="none" w:color="auto" w:sz="0" w:space="0"/>
          <w:lang w:val="en-US" w:eastAsia="zh-CN" w:bidi="ar"/>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储氢罐直径：0.8m（纵向贯穿机身中段）  </w:t>
      </w:r>
    </w:p>
    <w:p w14:paraId="772434E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0"/>
        <w:jc w:val="left"/>
        <w:rPr>
          <w:i w:val="0"/>
          <w:iCs w:val="0"/>
          <w:caps w:val="0"/>
          <w:color w:val="333333"/>
          <w:spacing w:val="0"/>
          <w:sz w:val="24"/>
          <w:szCs w:val="24"/>
        </w:rPr>
      </w:pPr>
      <w:r>
        <w:rPr>
          <w:rStyle w:val="12"/>
          <w:rFonts w:ascii="宋体" w:hAnsi="宋体" w:eastAsia="宋体" w:cs="宋体"/>
          <w:i w:val="0"/>
          <w:iCs w:val="0"/>
          <w:caps w:val="0"/>
          <w:color w:val="333333"/>
          <w:spacing w:val="0"/>
          <w:kern w:val="0"/>
          <w:sz w:val="24"/>
          <w:szCs w:val="24"/>
          <w:bdr w:val="none" w:color="auto" w:sz="0" w:space="0"/>
          <w:lang w:val="en-US" w:eastAsia="zh-CN" w:bidi="ar"/>
        </w:rPr>
        <w:t xml:space="preserve">客舱尺寸：2.4m×1.6m（4座布局）  </w:t>
      </w:r>
    </w:p>
    <w:p w14:paraId="447C336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p>
    <w:p w14:paraId="1126D88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eastAsia" w:ascii="Arial" w:hAnsi="Arial" w:eastAsia="宋体" w:cs="Arial"/>
          <w:i w:val="0"/>
          <w:iCs w:val="0"/>
          <w:caps w:val="0"/>
          <w:color w:val="333333"/>
          <w:spacing w:val="0"/>
          <w:sz w:val="24"/>
          <w:szCs w:val="24"/>
          <w:lang w:eastAsia="zh-CN"/>
        </w:rPr>
      </w:pPr>
      <w:r>
        <w:rPr>
          <w:rStyle w:val="12"/>
          <w:rFonts w:ascii="宋体" w:hAnsi="宋体" w:eastAsia="宋体" w:cs="宋体"/>
          <w:i w:val="0"/>
          <w:iCs w:val="0"/>
          <w:caps w:val="0"/>
          <w:color w:val="333333"/>
          <w:spacing w:val="0"/>
          <w:kern w:val="0"/>
          <w:sz w:val="24"/>
          <w:szCs w:val="24"/>
          <w:lang w:val="en-US" w:eastAsia="zh-CN" w:bidi="ar"/>
        </w:rPr>
        <w:drawing>
          <wp:inline distT="0" distB="0" distL="114300" distR="114300">
            <wp:extent cx="5266690" cy="2633345"/>
            <wp:effectExtent l="0" t="0" r="10160" b="14605"/>
            <wp:docPr id="18" name="图片 18" descr="SCSR-H2-神谕  白色俯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SR-H2-神谕  白色俯视"/>
                    <pic:cNvPicPr>
                      <a:picLocks noChangeAspect="1"/>
                    </pic:cNvPicPr>
                  </pic:nvPicPr>
                  <pic:blipFill>
                    <a:blip r:embed="rId11"/>
                    <a:stretch>
                      <a:fillRect/>
                    </a:stretch>
                  </pic:blipFill>
                  <pic:spPr>
                    <a:xfrm>
                      <a:off x="0" y="0"/>
                      <a:ext cx="5266690" cy="2633345"/>
                    </a:xfrm>
                    <a:prstGeom prst="rect">
                      <a:avLst/>
                    </a:prstGeom>
                  </pic:spPr>
                </pic:pic>
              </a:graphicData>
            </a:graphic>
          </wp:inline>
        </w:drawing>
      </w:r>
    </w:p>
    <w:p w14:paraId="30BFB5B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三、图纸安全验证</w:t>
      </w:r>
      <w:r>
        <w:rPr>
          <w:rFonts w:hint="default" w:ascii="Arial" w:hAnsi="Arial" w:eastAsia="Arial" w:cs="Arial"/>
          <w:i w:val="0"/>
          <w:iCs w:val="0"/>
          <w:caps w:val="0"/>
          <w:color w:val="333333"/>
          <w:spacing w:val="0"/>
          <w:bdr w:val="none" w:color="auto" w:sz="0" w:space="0"/>
          <w:shd w:val="clear" w:fill="FFFFFF"/>
        </w:rPr>
        <w:t>‌</w:t>
      </w:r>
    </w:p>
    <w:p w14:paraId="0464BB6A">
      <w:pPr>
        <w:keepNext w:val="0"/>
        <w:keepLines w:val="0"/>
        <w:widowControl/>
        <w:numPr>
          <w:ilvl w:val="0"/>
          <w:numId w:val="19"/>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数字水印</w:t>
      </w:r>
      <w:r>
        <w:rPr>
          <w:rFonts w:hint="default" w:ascii="Arial" w:hAnsi="Arial" w:eastAsia="Arial" w:cs="Arial"/>
          <w:i w:val="0"/>
          <w:iCs w:val="0"/>
          <w:caps w:val="0"/>
          <w:color w:val="333333"/>
          <w:spacing w:val="0"/>
          <w:sz w:val="24"/>
          <w:szCs w:val="24"/>
          <w:shd w:val="clear" w:fill="FFFFFF"/>
        </w:rPr>
        <w:t>‌：每份图纸嵌入唯一ID（绑定申请方信息）。</w:t>
      </w:r>
    </w:p>
    <w:p w14:paraId="37868E29">
      <w:pPr>
        <w:keepNext w:val="0"/>
        <w:keepLines w:val="0"/>
        <w:widowControl/>
        <w:numPr>
          <w:ilvl w:val="0"/>
          <w:numId w:val="19"/>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版本控制</w:t>
      </w:r>
      <w:r>
        <w:rPr>
          <w:rFonts w:hint="default" w:ascii="Arial" w:hAnsi="Arial" w:eastAsia="Arial" w:cs="Arial"/>
          <w:i w:val="0"/>
          <w:iCs w:val="0"/>
          <w:caps w:val="0"/>
          <w:color w:val="333333"/>
          <w:spacing w:val="0"/>
          <w:sz w:val="24"/>
          <w:szCs w:val="24"/>
          <w:shd w:val="clear" w:fill="FFFFFF"/>
        </w:rPr>
        <w:t>‌：2025Q1版本号 ‌</w:t>
      </w:r>
      <w:r>
        <w:rPr>
          <w:rStyle w:val="10"/>
          <w:rFonts w:hint="default" w:ascii="Arial" w:hAnsi="Arial" w:eastAsia="Arial" w:cs="Arial"/>
          <w:i w:val="0"/>
          <w:iCs w:val="0"/>
          <w:caps w:val="0"/>
          <w:color w:val="333333"/>
          <w:spacing w:val="0"/>
          <w:sz w:val="24"/>
          <w:szCs w:val="24"/>
          <w:bdr w:val="none" w:color="auto" w:sz="0" w:space="0"/>
          <w:shd w:val="clear" w:fill="FFFFFF"/>
        </w:rPr>
        <w:t>SCSR-H2-DWG-2502</w:t>
      </w:r>
      <w:r>
        <w:rPr>
          <w:rFonts w:hint="default" w:ascii="Arial" w:hAnsi="Arial" w:eastAsia="Arial" w:cs="Arial"/>
          <w:i w:val="0"/>
          <w:iCs w:val="0"/>
          <w:caps w:val="0"/>
          <w:color w:val="333333"/>
          <w:spacing w:val="0"/>
          <w:sz w:val="24"/>
          <w:szCs w:val="24"/>
          <w:shd w:val="clear" w:fill="FFFFFF"/>
        </w:rPr>
        <w:t>‌，过期自动锁定。</w:t>
      </w:r>
    </w:p>
    <w:p w14:paraId="72CF9BED">
      <w:pPr>
        <w:keepNext w:val="0"/>
        <w:keepLines w:val="0"/>
        <w:widowControl/>
        <w:numPr>
          <w:ilvl w:val="0"/>
          <w:numId w:val="19"/>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合规性</w:t>
      </w:r>
      <w:r>
        <w:rPr>
          <w:rFonts w:hint="default" w:ascii="Arial" w:hAnsi="Arial" w:eastAsia="Arial" w:cs="Arial"/>
          <w:i w:val="0"/>
          <w:iCs w:val="0"/>
          <w:caps w:val="0"/>
          <w:color w:val="333333"/>
          <w:spacing w:val="0"/>
          <w:sz w:val="24"/>
          <w:szCs w:val="24"/>
          <w:shd w:val="clear" w:fill="FFFFFF"/>
        </w:rPr>
        <w:t>‌：符合FAA ‌</w:t>
      </w:r>
      <w:r>
        <w:rPr>
          <w:rStyle w:val="10"/>
          <w:rFonts w:hint="default" w:ascii="Arial" w:hAnsi="Arial" w:eastAsia="Arial" w:cs="Arial"/>
          <w:i w:val="0"/>
          <w:iCs w:val="0"/>
          <w:caps w:val="0"/>
          <w:color w:val="333333"/>
          <w:spacing w:val="0"/>
          <w:sz w:val="24"/>
          <w:szCs w:val="24"/>
          <w:bdr w:val="none" w:color="auto" w:sz="0" w:space="0"/>
          <w:shd w:val="clear" w:fill="FFFFFF"/>
        </w:rPr>
        <w:t>AC 23-63</w:t>
      </w:r>
      <w:r>
        <w:rPr>
          <w:rFonts w:hint="default" w:ascii="Arial" w:hAnsi="Arial" w:eastAsia="Arial" w:cs="Arial"/>
          <w:i w:val="0"/>
          <w:iCs w:val="0"/>
          <w:caps w:val="0"/>
          <w:color w:val="333333"/>
          <w:spacing w:val="0"/>
          <w:sz w:val="24"/>
          <w:szCs w:val="24"/>
          <w:shd w:val="clear" w:fill="FFFFFF"/>
        </w:rPr>
        <w:t>‌ 工程图纸标准（2025修订版）。</w:t>
      </w:r>
    </w:p>
    <w:p w14:paraId="55F963D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80" w:beforeAutospacing="0" w:after="180" w:afterAutospacing="0"/>
        <w:ind w:left="0" w:right="0" w:firstLine="0"/>
        <w:jc w:val="left"/>
        <w:rPr>
          <w:rFonts w:hint="eastAsia" w:ascii="Arial" w:hAnsi="Arial" w:eastAsia="宋体" w:cs="Arial"/>
          <w:i w:val="0"/>
          <w:iCs w:val="0"/>
          <w:caps w:val="0"/>
          <w:color w:val="333333"/>
          <w:spacing w:val="0"/>
          <w:sz w:val="24"/>
          <w:szCs w:val="24"/>
          <w:lang w:eastAsia="zh-CN"/>
        </w:rPr>
      </w:pPr>
      <w:r>
        <w:rPr>
          <w:rFonts w:hint="eastAsia" w:ascii="Arial" w:hAnsi="Arial" w:eastAsia="宋体" w:cs="Arial"/>
          <w:i w:val="0"/>
          <w:iCs w:val="0"/>
          <w:caps w:val="0"/>
          <w:color w:val="333333"/>
          <w:spacing w:val="0"/>
          <w:sz w:val="24"/>
          <w:szCs w:val="24"/>
          <w:lang w:eastAsia="zh-CN"/>
        </w:rPr>
        <w:drawing>
          <wp:inline distT="0" distB="0" distL="114300" distR="114300">
            <wp:extent cx="5266690" cy="2633345"/>
            <wp:effectExtent l="0" t="0" r="10160" b="14605"/>
            <wp:docPr id="19" name="图片 19" descr="SCSR-H2-神谕-白色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SR-H2-神谕-白色侧"/>
                    <pic:cNvPicPr>
                      <a:picLocks noChangeAspect="1"/>
                    </pic:cNvPicPr>
                  </pic:nvPicPr>
                  <pic:blipFill>
                    <a:blip r:embed="rId12"/>
                    <a:stretch>
                      <a:fillRect/>
                    </a:stretch>
                  </pic:blipFill>
                  <pic:spPr>
                    <a:xfrm>
                      <a:off x="0" y="0"/>
                      <a:ext cx="5266690" cy="2633345"/>
                    </a:xfrm>
                    <a:prstGeom prst="rect">
                      <a:avLst/>
                    </a:prstGeom>
                  </pic:spPr>
                </pic:pic>
              </a:graphicData>
            </a:graphic>
          </wp:inline>
        </w:drawing>
      </w:r>
    </w:p>
    <w:p w14:paraId="3532D8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line="450" w:lineRule="atLeast"/>
        <w:ind w:left="0" w:right="0" w:firstLine="0"/>
        <w:jc w:val="left"/>
        <w:rPr>
          <w:rFonts w:hint="default" w:ascii="Arial" w:hAnsi="Arial" w:eastAsia="Arial" w:cs="Arial"/>
          <w:i w:val="0"/>
          <w:iCs w:val="0"/>
          <w:caps w:val="0"/>
          <w:color w:val="333333"/>
          <w:spacing w:val="0"/>
        </w:rPr>
      </w:pPr>
      <w:r>
        <w:rPr>
          <w:rFonts w:hint="default" w:ascii="Arial" w:hAnsi="Arial" w:eastAsia="Arial" w:cs="Arial"/>
          <w:i w:val="0"/>
          <w:iCs w:val="0"/>
          <w:caps w:val="0"/>
          <w:color w:val="333333"/>
          <w:spacing w:val="0"/>
          <w:bdr w:val="none" w:color="auto" w:sz="0" w:space="0"/>
          <w:shd w:val="clear" w:fill="FFFFFF"/>
        </w:rPr>
        <w:t>‌</w:t>
      </w:r>
      <w:r>
        <w:rPr>
          <w:rStyle w:val="10"/>
          <w:rFonts w:hint="default" w:ascii="Arial" w:hAnsi="Arial" w:eastAsia="Arial" w:cs="Arial"/>
          <w:b/>
          <w:i w:val="0"/>
          <w:iCs w:val="0"/>
          <w:caps w:val="0"/>
          <w:color w:val="333333"/>
          <w:spacing w:val="0"/>
          <w:bdr w:val="none" w:color="auto" w:sz="0" w:space="0"/>
          <w:shd w:val="clear" w:fill="FFFFFF"/>
        </w:rPr>
        <w:t>四、用户适配建议</w:t>
      </w:r>
      <w:r>
        <w:rPr>
          <w:rFonts w:hint="default" w:ascii="Arial" w:hAnsi="Arial" w:eastAsia="Arial" w:cs="Arial"/>
          <w:i w:val="0"/>
          <w:iCs w:val="0"/>
          <w:caps w:val="0"/>
          <w:color w:val="333333"/>
          <w:spacing w:val="0"/>
          <w:bdr w:val="none" w:color="auto" w:sz="0" w:space="0"/>
          <w:shd w:val="clear" w:fill="FFFFFF"/>
        </w:rPr>
        <w:t>‌</w:t>
      </w:r>
    </w:p>
    <w:p w14:paraId="11604C16">
      <w:pPr>
        <w:keepNext w:val="0"/>
        <w:keepLines w:val="0"/>
        <w:widowControl/>
        <w:numPr>
          <w:ilvl w:val="0"/>
          <w:numId w:val="20"/>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工程师/制造商</w:t>
      </w:r>
      <w:r>
        <w:rPr>
          <w:rFonts w:hint="default" w:ascii="Arial" w:hAnsi="Arial" w:eastAsia="Arial" w:cs="Arial"/>
          <w:i w:val="0"/>
          <w:iCs w:val="0"/>
          <w:caps w:val="0"/>
          <w:color w:val="333333"/>
          <w:spacing w:val="0"/>
          <w:sz w:val="24"/>
          <w:szCs w:val="24"/>
          <w:shd w:val="clear" w:fill="FFFFFF"/>
        </w:rPr>
        <w:t>‌：申请CAD模型 + 公差表（优先选择STEP格式）。</w:t>
      </w:r>
    </w:p>
    <w:p w14:paraId="706B577E">
      <w:pPr>
        <w:keepNext w:val="0"/>
        <w:keepLines w:val="0"/>
        <w:widowControl/>
        <w:numPr>
          <w:ilvl w:val="0"/>
          <w:numId w:val="20"/>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投资者/媒体</w:t>
      </w:r>
      <w:r>
        <w:rPr>
          <w:rFonts w:hint="default" w:ascii="Arial" w:hAnsi="Arial" w:eastAsia="Arial" w:cs="Arial"/>
          <w:i w:val="0"/>
          <w:iCs w:val="0"/>
          <w:caps w:val="0"/>
          <w:color w:val="333333"/>
          <w:spacing w:val="0"/>
          <w:sz w:val="24"/>
          <w:szCs w:val="24"/>
          <w:shd w:val="clear" w:fill="FFFFFF"/>
        </w:rPr>
        <w:t>‌：下载三视图PDF（含性能参数叠加层）。</w:t>
      </w:r>
    </w:p>
    <w:p w14:paraId="127D98F5">
      <w:pPr>
        <w:keepNext w:val="0"/>
        <w:keepLines w:val="0"/>
        <w:widowControl/>
        <w:numPr>
          <w:ilvl w:val="0"/>
          <w:numId w:val="20"/>
        </w:numPr>
        <w:suppressLineNumbers w:val="0"/>
        <w:pBdr>
          <w:top w:val="none" w:color="auto" w:sz="0" w:space="0"/>
          <w:bottom w:val="none" w:color="auto" w:sz="0" w:space="0"/>
          <w:right w:val="none" w:color="auto" w:sz="0" w:space="0"/>
        </w:pBdr>
        <w:spacing w:before="60" w:beforeAutospacing="0" w:after="60" w:afterAutospacing="0" w:line="420" w:lineRule="atLeast"/>
        <w:ind w:left="0" w:right="0" w:hanging="360"/>
        <w:jc w:val="left"/>
      </w:pPr>
      <w:r>
        <w:rPr>
          <w:rFonts w:hint="default" w:ascii="Arial" w:hAnsi="Arial" w:eastAsia="Arial" w:cs="Arial"/>
          <w:i w:val="0"/>
          <w:iCs w:val="0"/>
          <w:caps w:val="0"/>
          <w:color w:val="333333"/>
          <w:spacing w:val="0"/>
          <w:sz w:val="24"/>
          <w:szCs w:val="24"/>
          <w:shd w:val="clear" w:fill="FFFFFF"/>
        </w:rPr>
        <w:t>‌</w:t>
      </w:r>
      <w:r>
        <w:rPr>
          <w:rStyle w:val="10"/>
          <w:rFonts w:hint="default" w:ascii="Arial" w:hAnsi="Arial" w:eastAsia="Arial" w:cs="Arial"/>
          <w:i w:val="0"/>
          <w:iCs w:val="0"/>
          <w:caps w:val="0"/>
          <w:color w:val="333333"/>
          <w:spacing w:val="0"/>
          <w:sz w:val="24"/>
          <w:szCs w:val="24"/>
          <w:bdr w:val="none" w:color="auto" w:sz="0" w:space="0"/>
          <w:shd w:val="clear" w:fill="FFFFFF"/>
        </w:rPr>
        <w:t>学术研究</w:t>
      </w:r>
      <w:r>
        <w:rPr>
          <w:rFonts w:hint="default" w:ascii="Arial" w:hAnsi="Arial" w:eastAsia="Arial" w:cs="Arial"/>
          <w:i w:val="0"/>
          <w:iCs w:val="0"/>
          <w:caps w:val="0"/>
          <w:color w:val="333333"/>
          <w:spacing w:val="0"/>
          <w:sz w:val="24"/>
          <w:szCs w:val="24"/>
          <w:shd w:val="clear" w:fill="FFFFFF"/>
        </w:rPr>
        <w:t>‌：访问简化版3D模型（</w:t>
      </w:r>
      <w:r>
        <w:rPr>
          <w:rFonts w:hint="default" w:ascii="Arial" w:hAnsi="Arial" w:eastAsia="Arial" w:cs="Arial"/>
          <w:i w:val="0"/>
          <w:iCs w:val="0"/>
          <w:caps w:val="0"/>
          <w:spacing w:val="0"/>
          <w:sz w:val="24"/>
          <w:szCs w:val="24"/>
          <w:u w:val="none"/>
          <w:bdr w:val="none" w:color="auto" w:sz="0" w:space="0"/>
          <w:shd w:val="clear" w:fill="FFFFFF"/>
        </w:rPr>
        <w:fldChar w:fldCharType="begin"/>
      </w:r>
      <w:r>
        <w:rPr>
          <w:rFonts w:hint="default" w:ascii="Arial" w:hAnsi="Arial" w:eastAsia="Arial" w:cs="Arial"/>
          <w:i w:val="0"/>
          <w:iCs w:val="0"/>
          <w:caps w:val="0"/>
          <w:spacing w:val="0"/>
          <w:sz w:val="24"/>
          <w:szCs w:val="24"/>
          <w:u w:val="none"/>
          <w:bdr w:val="none" w:color="auto" w:sz="0" w:space="0"/>
          <w:shd w:val="clear" w:fill="FFFFFF"/>
        </w:rPr>
        <w:instrText xml:space="preserve"> HYPERLINK "https://chat.baidu.com/%E9%9C%80%E6%B3%A8%E5%86%8C" </w:instrText>
      </w:r>
      <w:r>
        <w:rPr>
          <w:rFonts w:hint="default" w:ascii="Arial" w:hAnsi="Arial" w:eastAsia="Arial" w:cs="Arial"/>
          <w:i w:val="0"/>
          <w:iCs w:val="0"/>
          <w:caps w:val="0"/>
          <w:spacing w:val="0"/>
          <w:sz w:val="24"/>
          <w:szCs w:val="24"/>
          <w:u w:val="none"/>
          <w:bdr w:val="none" w:color="auto" w:sz="0" w:space="0"/>
          <w:shd w:val="clear" w:fill="FFFFFF"/>
        </w:rPr>
        <w:fldChar w:fldCharType="separate"/>
      </w:r>
      <w:r>
        <w:rPr>
          <w:rStyle w:val="11"/>
          <w:rFonts w:hint="default" w:ascii="Arial" w:hAnsi="Arial" w:eastAsia="Arial" w:cs="Arial"/>
          <w:i w:val="0"/>
          <w:iCs w:val="0"/>
          <w:caps w:val="0"/>
          <w:spacing w:val="0"/>
          <w:sz w:val="24"/>
          <w:szCs w:val="24"/>
          <w:u w:val="none"/>
          <w:bdr w:val="none" w:color="auto" w:sz="0" w:space="0"/>
          <w:shd w:val="clear" w:fill="FFFFFF"/>
        </w:rPr>
        <w:t>在线查看器链接</w:t>
      </w:r>
      <w:r>
        <w:rPr>
          <w:rFonts w:hint="default" w:ascii="Arial" w:hAnsi="Arial" w:eastAsia="Arial" w:cs="Arial"/>
          <w:i w:val="0"/>
          <w:iCs w:val="0"/>
          <w:caps w:val="0"/>
          <w:spacing w:val="0"/>
          <w:sz w:val="24"/>
          <w:szCs w:val="24"/>
          <w:u w:val="none"/>
          <w:bdr w:val="none" w:color="auto" w:sz="0" w:space="0"/>
          <w:shd w:val="clear" w:fill="FFFFFF"/>
        </w:rPr>
        <w:fldChar w:fldCharType="end"/>
      </w:r>
      <w:r>
        <w:rPr>
          <w:rFonts w:hint="default" w:ascii="Arial" w:hAnsi="Arial" w:eastAsia="Arial" w:cs="Arial"/>
          <w:i w:val="0"/>
          <w:iCs w:val="0"/>
          <w:caps w:val="0"/>
          <w:color w:val="333333"/>
          <w:spacing w:val="0"/>
          <w:sz w:val="24"/>
          <w:szCs w:val="24"/>
          <w:shd w:val="clear" w:fill="FFFFFF"/>
        </w:rPr>
        <w:t>）。</w:t>
      </w:r>
    </w:p>
    <w:p w14:paraId="24E42818">
      <w:pPr>
        <w:keepNext w:val="0"/>
        <w:keepLines w:val="0"/>
        <w:pageBreakBefore w:val="0"/>
        <w:kinsoku/>
        <w:wordWrap/>
        <w:overflowPunct/>
        <w:topLinePunct w:val="0"/>
        <w:autoSpaceDE/>
        <w:autoSpaceDN/>
        <w:bidi w:val="0"/>
        <w:adjustRightInd/>
        <w:snapToGrid/>
        <w:spacing w:beforeAutospacing="0" w:afterAutospacing="0" w:line="360" w:lineRule="auto"/>
        <w:ind w:firstLine="602" w:firstLineChars="200"/>
        <w:textAlignment w:val="auto"/>
        <w:rPr>
          <w:rFonts w:hint="default"/>
          <w:b/>
          <w:bCs/>
          <w:sz w:val="30"/>
          <w:szCs w:val="30"/>
          <w:lang w:val="en-US" w:eastAsia="zh-CN"/>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74742C"/>
    <w:multiLevelType w:val="multilevel"/>
    <w:tmpl w:val="AD74742C"/>
    <w:lvl w:ilvl="0" w:tentative="0">
      <w:start w:val="1"/>
      <w:numFmt w:val="none"/>
      <w:lvlText w:val="%1."/>
      <w:lvlJc w:val="left"/>
      <w:pPr>
        <w:tabs>
          <w:tab w:val="left" w:pos="720"/>
        </w:tabs>
        <w:ind w:left="720" w:hanging="360"/>
      </w:pPr>
      <w:rPr>
        <w:sz w:val="24"/>
        <w:szCs w:val="24"/>
      </w:rPr>
    </w:lvl>
    <w:lvl w:ilvl="1" w:tentative="0">
      <w:start w:val="1"/>
      <w:numFmt w:val="bullet"/>
      <w:lvlText w:val=""/>
      <w:lvlJc w:val="left"/>
      <w:pPr>
        <w:tabs>
          <w:tab w:val="left" w:pos="1440"/>
        </w:tabs>
        <w:ind w:left="1440" w:hanging="360"/>
      </w:pPr>
      <w:rPr>
        <w:rFonts w:ascii="Symbol" w:hAnsi="Symbol" w:cs="Symbol"/>
        <w:sz w:val="20"/>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
    <w:nsid w:val="B52AB04A"/>
    <w:multiLevelType w:val="multilevel"/>
    <w:tmpl w:val="B52AB04A"/>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2">
    <w:nsid w:val="B8456F86"/>
    <w:multiLevelType w:val="multilevel"/>
    <w:tmpl w:val="B8456F8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BA2A0E4"/>
    <w:multiLevelType w:val="multilevel"/>
    <w:tmpl w:val="BBA2A0E4"/>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4">
    <w:nsid w:val="C454DCD8"/>
    <w:multiLevelType w:val="multilevel"/>
    <w:tmpl w:val="C454DCD8"/>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C787B1A2"/>
    <w:multiLevelType w:val="singleLevel"/>
    <w:tmpl w:val="C787B1A2"/>
    <w:lvl w:ilvl="0" w:tentative="0">
      <w:start w:val="5"/>
      <w:numFmt w:val="chineseCounting"/>
      <w:suff w:val="nothing"/>
      <w:lvlText w:val="%1、"/>
      <w:lvlJc w:val="left"/>
      <w:rPr>
        <w:rFonts w:hint="eastAsia"/>
      </w:rPr>
    </w:lvl>
  </w:abstractNum>
  <w:abstractNum w:abstractNumId="6">
    <w:nsid w:val="11B57707"/>
    <w:multiLevelType w:val="multilevel"/>
    <w:tmpl w:val="11B57707"/>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7">
    <w:nsid w:val="259BC0F0"/>
    <w:multiLevelType w:val="multilevel"/>
    <w:tmpl w:val="259BC0F0"/>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8">
    <w:nsid w:val="2ADEC046"/>
    <w:multiLevelType w:val="multilevel"/>
    <w:tmpl w:val="2ADEC046"/>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9">
    <w:nsid w:val="333C0BE0"/>
    <w:multiLevelType w:val="multilevel"/>
    <w:tmpl w:val="333C0BE0"/>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0">
    <w:nsid w:val="37F8D49E"/>
    <w:multiLevelType w:val="multilevel"/>
    <w:tmpl w:val="37F8D49E"/>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1">
    <w:nsid w:val="47B4A4C6"/>
    <w:multiLevelType w:val="singleLevel"/>
    <w:tmpl w:val="47B4A4C6"/>
    <w:lvl w:ilvl="0" w:tentative="0">
      <w:start w:val="8"/>
      <w:numFmt w:val="chineseCounting"/>
      <w:suff w:val="nothing"/>
      <w:lvlText w:val="%1、"/>
      <w:lvlJc w:val="left"/>
      <w:pPr>
        <w:ind w:left="0" w:firstLine="420"/>
      </w:pPr>
      <w:rPr>
        <w:rFonts w:hint="eastAsia"/>
      </w:rPr>
    </w:lvl>
  </w:abstractNum>
  <w:abstractNum w:abstractNumId="12">
    <w:nsid w:val="57048C38"/>
    <w:multiLevelType w:val="multilevel"/>
    <w:tmpl w:val="57048C38"/>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abstractNum w:abstractNumId="13">
    <w:nsid w:val="68865C54"/>
    <w:multiLevelType w:val="multilevel"/>
    <w:tmpl w:val="68865C54"/>
    <w:lvl w:ilvl="0" w:tentative="0">
      <w:start w:val="1"/>
      <w:numFmt w:val="none"/>
      <w:lvlText w:val="%1."/>
      <w:lvlJc w:val="left"/>
      <w:pPr>
        <w:tabs>
          <w:tab w:val="left" w:pos="720"/>
        </w:tabs>
        <w:ind w:left="720" w:hanging="360"/>
      </w:pPr>
      <w:rPr>
        <w:sz w:val="24"/>
        <w:szCs w:val="24"/>
      </w:rPr>
    </w:lvl>
    <w:lvl w:ilvl="1" w:tentative="0">
      <w:start w:val="1"/>
      <w:numFmt w:val="none"/>
      <w:lvlText w:val="%2."/>
      <w:lvlJc w:val="left"/>
      <w:pPr>
        <w:tabs>
          <w:tab w:val="left" w:pos="1440"/>
        </w:tabs>
        <w:ind w:left="1440" w:hanging="360"/>
      </w:pPr>
      <w:rPr>
        <w:sz w:val="24"/>
        <w:szCs w:val="24"/>
      </w:rPr>
    </w:lvl>
    <w:lvl w:ilvl="2" w:tentative="0">
      <w:start w:val="1"/>
      <w:numFmt w:val="none"/>
      <w:lvlText w:val="%3."/>
      <w:lvlJc w:val="left"/>
      <w:pPr>
        <w:tabs>
          <w:tab w:val="left" w:pos="2160"/>
        </w:tabs>
        <w:ind w:left="2160" w:hanging="360"/>
      </w:pPr>
      <w:rPr>
        <w:sz w:val="24"/>
        <w:szCs w:val="24"/>
      </w:rPr>
    </w:lvl>
    <w:lvl w:ilvl="3" w:tentative="0">
      <w:start w:val="1"/>
      <w:numFmt w:val="none"/>
      <w:lvlText w:val="%4."/>
      <w:lvlJc w:val="left"/>
      <w:pPr>
        <w:tabs>
          <w:tab w:val="left" w:pos="2517"/>
        </w:tabs>
        <w:ind w:left="2880" w:hanging="360"/>
      </w:pPr>
      <w:rPr>
        <w:sz w:val="24"/>
        <w:szCs w:val="24"/>
      </w:rPr>
    </w:lvl>
    <w:lvl w:ilvl="4" w:tentative="0">
      <w:start w:val="1"/>
      <w:numFmt w:val="none"/>
      <w:lvlText w:val="%5."/>
      <w:lvlJc w:val="left"/>
      <w:pPr>
        <w:tabs>
          <w:tab w:val="left" w:pos="3238"/>
        </w:tabs>
        <w:ind w:left="3600" w:hanging="360"/>
      </w:pPr>
      <w:rPr>
        <w:sz w:val="24"/>
        <w:szCs w:val="24"/>
      </w:rPr>
    </w:lvl>
    <w:lvl w:ilvl="5" w:tentative="0">
      <w:start w:val="1"/>
      <w:numFmt w:val="none"/>
      <w:lvlText w:val="%6."/>
      <w:lvlJc w:val="left"/>
      <w:pPr>
        <w:tabs>
          <w:tab w:val="left" w:pos="3958"/>
        </w:tabs>
        <w:ind w:left="4320" w:hanging="360"/>
      </w:pPr>
      <w:rPr>
        <w:sz w:val="24"/>
        <w:szCs w:val="24"/>
      </w:rPr>
    </w:lvl>
    <w:lvl w:ilvl="6" w:tentative="0">
      <w:start w:val="1"/>
      <w:numFmt w:val="none"/>
      <w:lvlText w:val="%7."/>
      <w:lvlJc w:val="left"/>
      <w:pPr>
        <w:tabs>
          <w:tab w:val="left" w:pos="4678"/>
        </w:tabs>
        <w:ind w:left="5040" w:hanging="360"/>
      </w:pPr>
      <w:rPr>
        <w:sz w:val="24"/>
        <w:szCs w:val="24"/>
      </w:rPr>
    </w:lvl>
    <w:lvl w:ilvl="7" w:tentative="0">
      <w:start w:val="1"/>
      <w:numFmt w:val="none"/>
      <w:lvlText w:val="%8."/>
      <w:lvlJc w:val="left"/>
      <w:pPr>
        <w:tabs>
          <w:tab w:val="left" w:pos="5398"/>
        </w:tabs>
        <w:ind w:left="5760" w:hanging="360"/>
      </w:pPr>
      <w:rPr>
        <w:sz w:val="24"/>
        <w:szCs w:val="24"/>
      </w:rPr>
    </w:lvl>
    <w:lvl w:ilvl="8" w:tentative="0">
      <w:start w:val="1"/>
      <w:numFmt w:val="none"/>
      <w:lvlText w:val="%9."/>
      <w:lvlJc w:val="left"/>
      <w:pPr>
        <w:tabs>
          <w:tab w:val="left" w:pos="6118"/>
        </w:tabs>
        <w:ind w:left="6480" w:hanging="360"/>
      </w:pPr>
      <w:rPr>
        <w:sz w:val="24"/>
        <w:szCs w:val="24"/>
      </w:rPr>
    </w:lvl>
  </w:abstractNum>
  <w:num w:numId="1">
    <w:abstractNumId w:val="7"/>
  </w:num>
  <w:num w:numId="2">
    <w:abstractNumId w:val="6"/>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2"/>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0"/>
  </w:num>
  <w:num w:numId="13">
    <w:abstractNumId w:val="11"/>
  </w:num>
  <w:num w:numId="14">
    <w:abstractNumId w:val="4"/>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9"/>
  </w:num>
  <w:num w:numId="18">
    <w:abstractNumId w:val="1"/>
  </w:num>
  <w:num w:numId="19">
    <w:abstractNumId w:val="13"/>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FC0453"/>
    <w:rsid w:val="141B622F"/>
    <w:rsid w:val="14DA7E5F"/>
    <w:rsid w:val="2A5C071E"/>
    <w:rsid w:val="2C9927C0"/>
    <w:rsid w:val="2FC22395"/>
    <w:rsid w:val="3862667F"/>
    <w:rsid w:val="38A0027F"/>
    <w:rsid w:val="47573BD8"/>
    <w:rsid w:val="49BB1B87"/>
    <w:rsid w:val="4B37493F"/>
    <w:rsid w:val="546A52D3"/>
    <w:rsid w:val="562A2C1B"/>
    <w:rsid w:val="580C501E"/>
    <w:rsid w:val="58417C07"/>
    <w:rsid w:val="5C7F5DAA"/>
    <w:rsid w:val="5CA02A22"/>
    <w:rsid w:val="76BA60C4"/>
    <w:rsid w:val="7E5A6A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9">
    <w:name w:val="Default Paragraph Font"/>
    <w:semiHidden/>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6">
    <w:name w:val="HTML Preformatted"/>
    <w:basedOn w:val="1"/>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uiPriority w:val="0"/>
    <w:pPr>
      <w:spacing w:before="0" w:beforeAutospacing="1" w:after="0" w:afterAutospacing="1"/>
      <w:ind w:left="0" w:right="0"/>
      <w:jc w:val="left"/>
    </w:pPr>
    <w:rPr>
      <w:kern w:val="0"/>
      <w:sz w:val="24"/>
      <w:lang w:val="en-US" w:eastAsia="zh-CN" w:bidi="ar"/>
    </w:rPr>
  </w:style>
  <w:style w:type="character" w:styleId="10">
    <w:name w:val="Strong"/>
    <w:basedOn w:val="9"/>
    <w:qFormat/>
    <w:uiPriority w:val="0"/>
    <w:rPr>
      <w:b/>
    </w:rPr>
  </w:style>
  <w:style w:type="character" w:styleId="11">
    <w:name w:val="Hyperlink"/>
    <w:basedOn w:val="9"/>
    <w:uiPriority w:val="0"/>
    <w:rPr>
      <w:color w:val="0000FF"/>
      <w:u w:val="single"/>
    </w:rPr>
  </w:style>
  <w:style w:type="character" w:styleId="12">
    <w:name w:val="HTML Code"/>
    <w:basedOn w:val="9"/>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4</TotalTime>
  <ScaleCrop>false</ScaleCrop>
  <LinksUpToDate>false</LinksUpToDate>
  <CharactersWithSpaces>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2025-02-25T14:00:57Z</dcterms:created>
  <dc:creator>prokids</dc:creator>
  <cp:lastModifiedBy>WPS_1668936241</cp:lastModifiedBy>
  <dcterms:modified xsi:type="dcterms:W3CDTF">2025-02-25T16:55:12Z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eyJoZGlkIjoiZGU1N2RkZDA2YzkwNWVlNzVlNTQ5MTQ3MTdkYTcxYzgiLCJ1c2VySWQiOiIxNDM5ODgyODI2In0=</vt:lpwstr>
  </property>
  <property fmtid="{D5CDD505-2E9C-101B-9397-08002B2CF9AE}" pid="4" name="ICV">
    <vt:lpwstr>E23EBA612ECD4071B5E0371786AF05CF_12</vt:lpwstr>
  </property>
</Properties>
</file>